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CDCA2" w14:textId="59B312D9" w:rsidR="00F67388" w:rsidRDefault="00F67388" w:rsidP="00F67388">
      <w:pPr>
        <w:pStyle w:val="HWLEHead"/>
        <w:jc w:val="center"/>
      </w:pPr>
      <w:r>
        <w:t>Trading Policy</w:t>
      </w:r>
    </w:p>
    <w:p w14:paraId="16392605" w14:textId="689377FB" w:rsidR="00F67388" w:rsidRDefault="00F67388" w:rsidP="00FF3A9C">
      <w:pPr>
        <w:pStyle w:val="HWLELvl1"/>
        <w:numPr>
          <w:ilvl w:val="0"/>
          <w:numId w:val="19"/>
        </w:numPr>
        <w:pBdr>
          <w:between w:val="single" w:sz="8" w:space="1" w:color="898F4B"/>
        </w:pBdr>
      </w:pPr>
      <w:bookmarkStart w:id="0" w:name="_Toc383613884"/>
      <w:bookmarkStart w:id="1" w:name="_Toc23167512"/>
      <w:bookmarkStart w:id="2" w:name="_Toc292178172"/>
      <w:bookmarkStart w:id="3" w:name="_Ref295143234"/>
      <w:bookmarkStart w:id="4" w:name="_Toc307992605"/>
      <w:bookmarkStart w:id="5" w:name="_Toc308713195"/>
      <w:bookmarkStart w:id="6" w:name="_Toc309031962"/>
      <w:bookmarkStart w:id="7" w:name="_Toc309809638"/>
      <w:bookmarkStart w:id="8" w:name="_Toc324249820"/>
      <w:bookmarkStart w:id="9" w:name="_Toc338162798"/>
      <w:bookmarkStart w:id="10" w:name="_Toc347739631"/>
      <w:bookmarkStart w:id="11" w:name="_Toc361315661"/>
      <w:bookmarkStart w:id="12" w:name="_Toc361317014"/>
      <w:bookmarkStart w:id="13" w:name="_Toc363046430"/>
      <w:bookmarkStart w:id="14" w:name="_Toc363643168"/>
      <w:bookmarkStart w:id="15" w:name="_Toc363644927"/>
      <w:bookmarkStart w:id="16" w:name="_Toc364085042"/>
      <w:bookmarkStart w:id="17" w:name="_Toc364085138"/>
      <w:bookmarkStart w:id="18" w:name="_Toc366577097"/>
      <w:bookmarkStart w:id="19" w:name="_Toc368396289"/>
      <w:bookmarkStart w:id="20" w:name="_Toc368400427"/>
      <w:r>
        <w:t>Introduction</w:t>
      </w:r>
      <w:bookmarkEnd w:id="0"/>
      <w:bookmarkEnd w:id="1"/>
    </w:p>
    <w:p w14:paraId="29744843" w14:textId="77777777" w:rsidR="00F67388" w:rsidRPr="00A51D7C" w:rsidRDefault="00F67388" w:rsidP="00FF3A9C">
      <w:pPr>
        <w:pStyle w:val="HWLELvl2"/>
        <w:numPr>
          <w:ilvl w:val="1"/>
          <w:numId w:val="19"/>
        </w:numPr>
      </w:pPr>
      <w:bookmarkStart w:id="21" w:name="_Toc383613885"/>
      <w:bookmarkStart w:id="22" w:name="_Ref30435948"/>
      <w:r>
        <w:t>Background and purpose</w:t>
      </w:r>
      <w:bookmarkEnd w:id="21"/>
      <w:bookmarkEnd w:id="22"/>
    </w:p>
    <w:p w14:paraId="5DE36DDB" w14:textId="042918C4" w:rsidR="00C31D34" w:rsidRDefault="00F67388" w:rsidP="00F67388">
      <w:pPr>
        <w:pStyle w:val="HWLEIndent"/>
        <w:keepNext/>
        <w:jc w:val="both"/>
      </w:pPr>
      <w:r>
        <w:t xml:space="preserve">The purpose of this </w:t>
      </w:r>
      <w:r w:rsidR="00C31D34">
        <w:t>trading p</w:t>
      </w:r>
      <w:r>
        <w:t>olicy</w:t>
      </w:r>
      <w:r w:rsidR="00C31D34">
        <w:t xml:space="preserve"> (</w:t>
      </w:r>
      <w:r w:rsidR="00C31D34" w:rsidRPr="00C31D34">
        <w:rPr>
          <w:b/>
        </w:rPr>
        <w:t>Policy</w:t>
      </w:r>
      <w:r w:rsidR="00C31D34">
        <w:t>)</w:t>
      </w:r>
      <w:r>
        <w:t xml:space="preserve"> is to ensure that </w:t>
      </w:r>
      <w:r w:rsidR="00047414">
        <w:t>Employees</w:t>
      </w:r>
      <w:r>
        <w:t xml:space="preserve"> are aware of, and to assist Employees in complying with</w:t>
      </w:r>
      <w:r w:rsidR="00047414">
        <w:t>,</w:t>
      </w:r>
      <w:r w:rsidR="00C31D34">
        <w:t xml:space="preserve"> the</w:t>
      </w:r>
      <w:r>
        <w:t xml:space="preserve"> prohibitions under </w:t>
      </w:r>
      <w:r w:rsidR="00047414">
        <w:t>Applicable L</w:t>
      </w:r>
      <w:r>
        <w:t xml:space="preserve">aws against insider trading, tipping, and recommending trades in the securities of </w:t>
      </w:r>
      <w:r w:rsidR="0052129B">
        <w:t>Benz Mining Corp.</w:t>
      </w:r>
      <w:r w:rsidR="003E3275">
        <w:t xml:space="preserve"> (</w:t>
      </w:r>
      <w:r w:rsidRPr="003E3275">
        <w:rPr>
          <w:b/>
        </w:rPr>
        <w:t>Company</w:t>
      </w:r>
      <w:r w:rsidR="003E3275">
        <w:t>)</w:t>
      </w:r>
      <w:r>
        <w:t xml:space="preserve"> and other issuers in certain circumstances</w:t>
      </w:r>
      <w:r w:rsidR="00C31D34">
        <w:t xml:space="preserve"> (</w:t>
      </w:r>
      <w:r w:rsidR="00C31D34" w:rsidRPr="00C31D34">
        <w:rPr>
          <w:b/>
        </w:rPr>
        <w:t>Insider Trading</w:t>
      </w:r>
      <w:r w:rsidR="00C31D34">
        <w:t>)</w:t>
      </w:r>
      <w:r>
        <w:t xml:space="preserve">. This Policy also contains additional pre-clearance, </w:t>
      </w:r>
      <w:r w:rsidR="00C31D34">
        <w:t>closed period</w:t>
      </w:r>
      <w:r>
        <w:t xml:space="preserve"> and other </w:t>
      </w:r>
      <w:r w:rsidR="00E77C0F">
        <w:t>t</w:t>
      </w:r>
      <w:r>
        <w:t>rading restrictions.</w:t>
      </w:r>
    </w:p>
    <w:p w14:paraId="339F7D77" w14:textId="00F86205" w:rsidR="00F67388" w:rsidRDefault="00F67388" w:rsidP="00F67388">
      <w:pPr>
        <w:pStyle w:val="HWLEIndent"/>
        <w:keepNext/>
        <w:jc w:val="both"/>
      </w:pPr>
      <w:r>
        <w:t xml:space="preserve">Additional objectives of this Policy </w:t>
      </w:r>
      <w:r w:rsidR="00C31D34">
        <w:t>include the following</w:t>
      </w:r>
      <w:r>
        <w:t xml:space="preserve">: </w:t>
      </w:r>
    </w:p>
    <w:p w14:paraId="089D112E" w14:textId="791F4ADE" w:rsidR="00F67388" w:rsidRDefault="00C31D34" w:rsidP="00FF3A9C">
      <w:pPr>
        <w:pStyle w:val="HWLELvl3"/>
        <w:numPr>
          <w:ilvl w:val="2"/>
          <w:numId w:val="20"/>
        </w:numPr>
        <w:jc w:val="both"/>
      </w:pPr>
      <w:r>
        <w:t xml:space="preserve">to </w:t>
      </w:r>
      <w:r w:rsidR="00F67388">
        <w:t>minimise the risk of Employee</w:t>
      </w:r>
      <w:r w:rsidR="00F67388" w:rsidRPr="00675967">
        <w:t>s</w:t>
      </w:r>
      <w:r w:rsidR="00F67388">
        <w:t xml:space="preserve"> contravening the </w:t>
      </w:r>
      <w:r>
        <w:t>Applicable L</w:t>
      </w:r>
      <w:r w:rsidR="00F67388">
        <w:t xml:space="preserve">aws against </w:t>
      </w:r>
      <w:r>
        <w:t>I</w:t>
      </w:r>
      <w:r w:rsidR="00F67388">
        <w:t xml:space="preserve">nsider </w:t>
      </w:r>
      <w:r>
        <w:t>T</w:t>
      </w:r>
      <w:r w:rsidR="00F67388">
        <w:t xml:space="preserve">rading; </w:t>
      </w:r>
    </w:p>
    <w:p w14:paraId="0CA8C81D" w14:textId="6EBF8492" w:rsidR="00F67388" w:rsidRDefault="00C31D34" w:rsidP="00FF3A9C">
      <w:pPr>
        <w:pStyle w:val="HWLELvl3"/>
        <w:numPr>
          <w:ilvl w:val="2"/>
          <w:numId w:val="20"/>
        </w:numPr>
        <w:jc w:val="both"/>
      </w:pPr>
      <w:r>
        <w:t xml:space="preserve">to </w:t>
      </w:r>
      <w:r w:rsidR="00F67388">
        <w:t xml:space="preserve">minimise the risk of the appearance of </w:t>
      </w:r>
      <w:r>
        <w:t>I</w:t>
      </w:r>
      <w:r w:rsidR="00F67388">
        <w:t xml:space="preserve">nsider </w:t>
      </w:r>
      <w:r>
        <w:t>T</w:t>
      </w:r>
      <w:r w:rsidR="00F67388">
        <w:t>rading and the significant reputational damage it may cause</w:t>
      </w:r>
      <w:r>
        <w:t xml:space="preserve"> to the Company</w:t>
      </w:r>
      <w:r w:rsidR="00F67388">
        <w:t xml:space="preserve">; </w:t>
      </w:r>
    </w:p>
    <w:p w14:paraId="4211AF11" w14:textId="525B08AF" w:rsidR="00F67388" w:rsidRPr="00CC2440" w:rsidRDefault="00C31D34" w:rsidP="00FF3A9C">
      <w:pPr>
        <w:pStyle w:val="HWLELvl3"/>
        <w:numPr>
          <w:ilvl w:val="2"/>
          <w:numId w:val="19"/>
        </w:numPr>
        <w:jc w:val="both"/>
      </w:pPr>
      <w:r>
        <w:t>to assist</w:t>
      </w:r>
      <w:r w:rsidR="00F67388" w:rsidRPr="00CC2440">
        <w:t xml:space="preserve"> the Company i</w:t>
      </w:r>
      <w:r>
        <w:t>n</w:t>
      </w:r>
      <w:r w:rsidR="00F67388" w:rsidRPr="00CC2440">
        <w:t xml:space="preserve"> meet</w:t>
      </w:r>
      <w:r>
        <w:t>ing</w:t>
      </w:r>
      <w:r w:rsidR="00F67388" w:rsidRPr="00CC2440">
        <w:t xml:space="preserve"> its reporting obligations under </w:t>
      </w:r>
      <w:r>
        <w:t>Applicable Laws</w:t>
      </w:r>
      <w:r w:rsidR="00F67388" w:rsidRPr="00CC2440">
        <w:t xml:space="preserve">; and </w:t>
      </w:r>
    </w:p>
    <w:p w14:paraId="3B75F14C" w14:textId="5F917F64" w:rsidR="00F67388" w:rsidRPr="00CC2440" w:rsidRDefault="00C31D34" w:rsidP="00FF3A9C">
      <w:pPr>
        <w:pStyle w:val="HWLELvl3"/>
        <w:numPr>
          <w:ilvl w:val="2"/>
          <w:numId w:val="19"/>
        </w:numPr>
        <w:jc w:val="both"/>
      </w:pPr>
      <w:r>
        <w:t xml:space="preserve">to </w:t>
      </w:r>
      <w:r w:rsidR="00F67388" w:rsidRPr="00CC2440">
        <w:t xml:space="preserve">increase transparency with respect to </w:t>
      </w:r>
      <w:r w:rsidR="004022D5">
        <w:t>t</w:t>
      </w:r>
      <w:r w:rsidR="00F67388" w:rsidRPr="00CC2440">
        <w:t>rading in the Company</w:t>
      </w:r>
      <w:r w:rsidR="00F67388">
        <w:t>’</w:t>
      </w:r>
      <w:r w:rsidR="00F67388" w:rsidRPr="00CC2440">
        <w:t xml:space="preserve">s securities by </w:t>
      </w:r>
      <w:r w:rsidR="00F67388">
        <w:t>Employee</w:t>
      </w:r>
      <w:r w:rsidR="00F67388" w:rsidRPr="00CC2440">
        <w:t xml:space="preserve">s. </w:t>
      </w:r>
    </w:p>
    <w:p w14:paraId="1DF46A47" w14:textId="77777777" w:rsidR="00F67388" w:rsidRDefault="00F67388" w:rsidP="00FF3A9C">
      <w:pPr>
        <w:pStyle w:val="HWLELvl2"/>
        <w:numPr>
          <w:ilvl w:val="1"/>
          <w:numId w:val="19"/>
        </w:numPr>
        <w:jc w:val="both"/>
      </w:pPr>
      <w:bookmarkStart w:id="23" w:name="_Toc383613886"/>
      <w:r>
        <w:t>Who does this Policy apply to?</w:t>
      </w:r>
      <w:bookmarkEnd w:id="23"/>
    </w:p>
    <w:p w14:paraId="646FCBA2" w14:textId="1D3F44B0" w:rsidR="001F7087" w:rsidRDefault="00F67388" w:rsidP="00F67388">
      <w:pPr>
        <w:pStyle w:val="HWLEIndent"/>
        <w:jc w:val="both"/>
      </w:pPr>
      <w:r w:rsidRPr="00CC2440">
        <w:t xml:space="preserve">This Policy applies to all </w:t>
      </w:r>
      <w:r w:rsidR="001F7087">
        <w:t xml:space="preserve">Directors, officers, and employees of the Company and its </w:t>
      </w:r>
      <w:r w:rsidR="004022D5">
        <w:t>Related Bodies Corporate</w:t>
      </w:r>
      <w:r w:rsidR="001F7087">
        <w:t xml:space="preserve"> (</w:t>
      </w:r>
      <w:r w:rsidR="001F7087">
        <w:rPr>
          <w:b/>
        </w:rPr>
        <w:t>Employees</w:t>
      </w:r>
      <w:r w:rsidR="001F7087">
        <w:t>).</w:t>
      </w:r>
    </w:p>
    <w:p w14:paraId="449DF3CB" w14:textId="578752C0" w:rsidR="00F67388" w:rsidRPr="00CC2440" w:rsidRDefault="00F67388" w:rsidP="00F67388">
      <w:pPr>
        <w:pStyle w:val="HWLEIndent"/>
        <w:jc w:val="both"/>
      </w:pPr>
      <w:r>
        <w:t>In addition, certain sections of this Policy al</w:t>
      </w:r>
      <w:r w:rsidR="001F7087">
        <w:t>s</w:t>
      </w:r>
      <w:r>
        <w:t>o apply to the related persons of Employees, including an individual’s spouse, minor children, and anyone else living in the individual’s household and any legal entities controlled by the individual (</w:t>
      </w:r>
      <w:r w:rsidRPr="003B2096">
        <w:rPr>
          <w:b/>
        </w:rPr>
        <w:t>Related Persons</w:t>
      </w:r>
      <w:r>
        <w:t>).</w:t>
      </w:r>
    </w:p>
    <w:p w14:paraId="7A9E8FF4" w14:textId="421A0422" w:rsidR="00F67388" w:rsidRPr="00CC2440" w:rsidRDefault="00F67388" w:rsidP="00F67388">
      <w:pPr>
        <w:pStyle w:val="HWLEIndent"/>
        <w:jc w:val="both"/>
      </w:pPr>
      <w:r w:rsidRPr="00CC2440">
        <w:t xml:space="preserve">It is important to remember that although this Policy only applies to </w:t>
      </w:r>
      <w:r>
        <w:t>Employee</w:t>
      </w:r>
      <w:r w:rsidRPr="00CC2440">
        <w:t>s</w:t>
      </w:r>
      <w:r>
        <w:t xml:space="preserve"> and Related Persons</w:t>
      </w:r>
      <w:r w:rsidRPr="00CC2440">
        <w:t xml:space="preserve">, the </w:t>
      </w:r>
      <w:r w:rsidR="001F7087">
        <w:t xml:space="preserve">Insider Trading </w:t>
      </w:r>
      <w:r w:rsidRPr="00CC2440">
        <w:t xml:space="preserve">prohibitions set out in </w:t>
      </w:r>
      <w:r w:rsidR="001F7087">
        <w:t>Applicable Laws</w:t>
      </w:r>
      <w:r w:rsidRPr="00CC2440">
        <w:t xml:space="preserve"> apply to </w:t>
      </w:r>
      <w:r w:rsidRPr="00CC2440">
        <w:rPr>
          <w:b/>
          <w:u w:val="single"/>
        </w:rPr>
        <w:t>all</w:t>
      </w:r>
      <w:r w:rsidRPr="00CC2440">
        <w:t xml:space="preserve"> persons (including </w:t>
      </w:r>
      <w:r>
        <w:t>consultants and advisors to the Company</w:t>
      </w:r>
      <w:r w:rsidRPr="00CC2440">
        <w:t>).</w:t>
      </w:r>
    </w:p>
    <w:p w14:paraId="30058258" w14:textId="57517465" w:rsidR="00F67388" w:rsidRPr="00CC2440" w:rsidRDefault="00F67388" w:rsidP="00F67388">
      <w:pPr>
        <w:pStyle w:val="HWLEIndent"/>
        <w:jc w:val="both"/>
      </w:pPr>
      <w:r w:rsidRPr="00CC2440">
        <w:rPr>
          <w:lang w:eastAsia="en-AU"/>
        </w:rPr>
        <w:t xml:space="preserve">If you are in any doubt as to how this Policy </w:t>
      </w:r>
      <w:r w:rsidRPr="00CC2440">
        <w:rPr>
          <w:rFonts w:ascii="Helvetica" w:hAnsi="Helvetica" w:cs="Helvetica"/>
          <w:lang w:eastAsia="en-AU"/>
        </w:rPr>
        <w:t xml:space="preserve">may affect you, you should seek assistance from the </w:t>
      </w:r>
      <w:r w:rsidR="00047414">
        <w:rPr>
          <w:rFonts w:ascii="Helvetica" w:hAnsi="Helvetica" w:cs="Helvetica"/>
          <w:lang w:eastAsia="en-AU"/>
        </w:rPr>
        <w:t xml:space="preserve">Company </w:t>
      </w:r>
      <w:r w:rsidRPr="00CC2440">
        <w:rPr>
          <w:rFonts w:ascii="Helvetica" w:hAnsi="Helvetica" w:cs="Helvetica"/>
          <w:lang w:eastAsia="en-AU"/>
        </w:rPr>
        <w:t>Secretary before trading.</w:t>
      </w:r>
    </w:p>
    <w:p w14:paraId="5E6649CD" w14:textId="77777777" w:rsidR="00F67388" w:rsidRDefault="00F67388" w:rsidP="00FF3A9C">
      <w:pPr>
        <w:pStyle w:val="HWLELvl1"/>
        <w:numPr>
          <w:ilvl w:val="0"/>
          <w:numId w:val="19"/>
        </w:numPr>
        <w:pBdr>
          <w:between w:val="single" w:sz="8" w:space="1" w:color="898F4B"/>
        </w:pBdr>
        <w:jc w:val="both"/>
      </w:pPr>
      <w:bookmarkStart w:id="24" w:name="_Toc23167513"/>
      <w:bookmarkStart w:id="25" w:name="_Toc383613887"/>
      <w:r w:rsidRPr="001652D0">
        <w:lastRenderedPageBreak/>
        <w:t>Definitions</w:t>
      </w:r>
      <w:bookmarkEnd w:id="2"/>
      <w:r w:rsidRPr="001652D0">
        <w:t xml:space="preserve"> and interpretation</w:t>
      </w:r>
      <w:bookmarkEnd w:id="24"/>
      <w:r w:rsidRPr="001652D0">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5"/>
    </w:p>
    <w:p w14:paraId="152A2387" w14:textId="77777777" w:rsidR="00F67388" w:rsidRDefault="00F67388" w:rsidP="00FF3A9C">
      <w:pPr>
        <w:pStyle w:val="HWLELvl2"/>
        <w:numPr>
          <w:ilvl w:val="1"/>
          <w:numId w:val="19"/>
        </w:numPr>
        <w:jc w:val="both"/>
      </w:pPr>
      <w:bookmarkStart w:id="26" w:name="A_Definitions"/>
      <w:bookmarkStart w:id="27" w:name="_Ref295143174"/>
      <w:bookmarkStart w:id="28" w:name="_Ref295143192"/>
      <w:bookmarkStart w:id="29" w:name="_Ref295143268"/>
      <w:bookmarkStart w:id="30" w:name="_Ref297534805"/>
      <w:bookmarkStart w:id="31" w:name="_Ref297538753"/>
      <w:bookmarkStart w:id="32" w:name="_Toc307992606"/>
      <w:bookmarkStart w:id="33" w:name="_Toc308713196"/>
      <w:bookmarkStart w:id="34" w:name="_Toc309031963"/>
      <w:bookmarkStart w:id="35" w:name="_Toc309809639"/>
      <w:bookmarkStart w:id="36" w:name="_Toc324249821"/>
      <w:bookmarkStart w:id="37" w:name="_Toc338162799"/>
      <w:bookmarkStart w:id="38" w:name="_Toc361315662"/>
      <w:bookmarkStart w:id="39" w:name="_Toc361317015"/>
      <w:bookmarkStart w:id="40" w:name="_Toc363046431"/>
      <w:bookmarkStart w:id="41" w:name="_Toc363643169"/>
      <w:bookmarkStart w:id="42" w:name="_Toc363644928"/>
      <w:bookmarkStart w:id="43" w:name="_Toc364085043"/>
      <w:bookmarkStart w:id="44" w:name="_Toc364085139"/>
      <w:bookmarkStart w:id="45" w:name="_Toc366577098"/>
      <w:bookmarkStart w:id="46" w:name="_Toc368396290"/>
      <w:bookmarkStart w:id="47" w:name="_Toc368400428"/>
      <w:bookmarkStart w:id="48" w:name="_Toc383613888"/>
      <w:bookmarkEnd w:id="26"/>
      <w:r w:rsidRPr="00423DB4">
        <w:t>Definitions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CA1B4A8" w14:textId="6987F4F8" w:rsidR="00F67388" w:rsidRDefault="00C53565" w:rsidP="00F67388">
      <w:pPr>
        <w:pStyle w:val="HWLEIndent"/>
        <w:keepNext/>
        <w:jc w:val="both"/>
      </w:pPr>
      <w:r>
        <w:t>Defined</w:t>
      </w:r>
      <w:r w:rsidR="00F67388">
        <w:t xml:space="preserve"> terms and abbreviations used in this Policy have the meanings set out below:</w:t>
      </w:r>
    </w:p>
    <w:tbl>
      <w:tblPr>
        <w:tblStyle w:val="TableGrid"/>
        <w:tblW w:w="4600" w:type="pc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5886"/>
      </w:tblGrid>
      <w:tr w:rsidR="00F67388" w14:paraId="217BA829" w14:textId="77777777" w:rsidTr="003B2096">
        <w:tc>
          <w:tcPr>
            <w:tcW w:w="1939" w:type="dxa"/>
          </w:tcPr>
          <w:p w14:paraId="329C56DE" w14:textId="4DBA6342" w:rsidR="00F67388" w:rsidRPr="00ED136F" w:rsidRDefault="00F67388" w:rsidP="00FF3A9C">
            <w:pPr>
              <w:pStyle w:val="HWLEDef1"/>
              <w:numPr>
                <w:ilvl w:val="0"/>
                <w:numId w:val="18"/>
              </w:numPr>
            </w:pPr>
            <w:r>
              <w:t>Applicable Laws</w:t>
            </w:r>
          </w:p>
        </w:tc>
        <w:tc>
          <w:tcPr>
            <w:tcW w:w="5886" w:type="dxa"/>
          </w:tcPr>
          <w:p w14:paraId="32BD4137" w14:textId="08E00D91" w:rsidR="00F67388" w:rsidRPr="002D2D72" w:rsidRDefault="00F67388" w:rsidP="003B2096">
            <w:pPr>
              <w:pStyle w:val="HWLETblBodyText"/>
              <w:jc w:val="both"/>
            </w:pPr>
            <w:r>
              <w:t xml:space="preserve">means </w:t>
            </w:r>
            <w:r w:rsidR="001F7087">
              <w:t>applicable corporate and securities laws, rules, regulations, and policies (including</w:t>
            </w:r>
            <w:r w:rsidR="00B06AA7">
              <w:t xml:space="preserve"> the Corporations Act</w:t>
            </w:r>
            <w:r w:rsidR="001F7087">
              <w:t>,</w:t>
            </w:r>
            <w:r w:rsidR="003E3275">
              <w:t xml:space="preserve"> the </w:t>
            </w:r>
            <w:r w:rsidR="001F7087">
              <w:rPr>
                <w:i/>
              </w:rPr>
              <w:t>Securities Act</w:t>
            </w:r>
            <w:r w:rsidR="003E3275">
              <w:t xml:space="preserve"> in relevant Canadian Provinces</w:t>
            </w:r>
            <w:r w:rsidR="001F7087">
              <w:t xml:space="preserve">, and </w:t>
            </w:r>
            <w:r w:rsidR="003E3275">
              <w:t xml:space="preserve">rules and instruments adopted by the </w:t>
            </w:r>
            <w:r w:rsidR="001F7087">
              <w:t xml:space="preserve">Canadian </w:t>
            </w:r>
            <w:r w:rsidR="003E3275">
              <w:t>S</w:t>
            </w:r>
            <w:r w:rsidR="001F7087">
              <w:t xml:space="preserve">ecurities </w:t>
            </w:r>
            <w:r w:rsidR="003E3275">
              <w:t>Administrators</w:t>
            </w:r>
            <w:r w:rsidR="001F7087">
              <w:t xml:space="preserve">), and applicable stock exchange policies and rules (including the ASX </w:t>
            </w:r>
            <w:r w:rsidR="001F7087" w:rsidRPr="003E3275">
              <w:t>Listing Rules</w:t>
            </w:r>
            <w:r w:rsidR="001F7087">
              <w:t xml:space="preserve"> and the TSX-V </w:t>
            </w:r>
            <w:r w:rsidR="001F7087">
              <w:rPr>
                <w:i/>
              </w:rPr>
              <w:t>Corporate Finance Policies</w:t>
            </w:r>
            <w:r w:rsidR="001F7087">
              <w:t>)</w:t>
            </w:r>
            <w:r>
              <w:t>, as amended from time to time.</w:t>
            </w:r>
          </w:p>
        </w:tc>
      </w:tr>
      <w:tr w:rsidR="00F67388" w14:paraId="735132BD" w14:textId="77777777" w:rsidTr="003B2096">
        <w:tc>
          <w:tcPr>
            <w:tcW w:w="1939" w:type="dxa"/>
          </w:tcPr>
          <w:p w14:paraId="4389A8A1" w14:textId="77777777" w:rsidR="00F67388" w:rsidRDefault="00F67388" w:rsidP="00FF3A9C">
            <w:pPr>
              <w:pStyle w:val="HWLEDef1"/>
              <w:numPr>
                <w:ilvl w:val="0"/>
                <w:numId w:val="18"/>
              </w:numPr>
            </w:pPr>
            <w:bookmarkStart w:id="49" w:name="_Toc296590527"/>
            <w:bookmarkStart w:id="50" w:name="_Toc296590732"/>
            <w:bookmarkStart w:id="51" w:name="_Toc296593889"/>
            <w:bookmarkStart w:id="52" w:name="_Toc296932871"/>
            <w:bookmarkStart w:id="53" w:name="_Toc296932957"/>
            <w:bookmarkStart w:id="54" w:name="_Toc297014784"/>
            <w:bookmarkStart w:id="55" w:name="_Toc296590539"/>
            <w:bookmarkStart w:id="56" w:name="_Toc296590744"/>
            <w:bookmarkStart w:id="57" w:name="_Toc296593901"/>
            <w:bookmarkStart w:id="58" w:name="_Toc296932883"/>
            <w:bookmarkStart w:id="59" w:name="_Toc296932969"/>
            <w:bookmarkStart w:id="60" w:name="_Toc297014796"/>
            <w:bookmarkStart w:id="61" w:name="A_Interpretation"/>
            <w:bookmarkStart w:id="62" w:name="_Toc319331525"/>
            <w:bookmarkStart w:id="63" w:name="_Toc319331751"/>
            <w:bookmarkStart w:id="64" w:name="_Toc339893647"/>
            <w:bookmarkEnd w:id="49"/>
            <w:bookmarkEnd w:id="50"/>
            <w:bookmarkEnd w:id="51"/>
            <w:bookmarkEnd w:id="52"/>
            <w:bookmarkEnd w:id="53"/>
            <w:bookmarkEnd w:id="54"/>
            <w:bookmarkEnd w:id="55"/>
            <w:bookmarkEnd w:id="56"/>
            <w:bookmarkEnd w:id="57"/>
            <w:bookmarkEnd w:id="58"/>
            <w:bookmarkEnd w:id="59"/>
            <w:bookmarkEnd w:id="60"/>
            <w:bookmarkEnd w:id="61"/>
            <w:r w:rsidRPr="00ED136F">
              <w:t>ASX</w:t>
            </w:r>
          </w:p>
        </w:tc>
        <w:tc>
          <w:tcPr>
            <w:tcW w:w="5886" w:type="dxa"/>
          </w:tcPr>
          <w:p w14:paraId="1316F8BD" w14:textId="76FCB4C8" w:rsidR="00F67388" w:rsidRDefault="00F67388" w:rsidP="003B2096">
            <w:pPr>
              <w:pStyle w:val="HWLETblBodyText"/>
              <w:jc w:val="both"/>
            </w:pPr>
            <w:r>
              <w:t xml:space="preserve">means </w:t>
            </w:r>
            <w:r w:rsidR="00047414">
              <w:t>the Australian Securities Exchange</w:t>
            </w:r>
            <w:r>
              <w:t>.</w:t>
            </w:r>
          </w:p>
        </w:tc>
      </w:tr>
      <w:tr w:rsidR="00F67388" w14:paraId="7C2431E9" w14:textId="77777777" w:rsidTr="003B2096">
        <w:tc>
          <w:tcPr>
            <w:tcW w:w="1939" w:type="dxa"/>
          </w:tcPr>
          <w:p w14:paraId="0D1472D3" w14:textId="77777777" w:rsidR="00F67388" w:rsidRPr="00ED136F" w:rsidRDefault="00F67388" w:rsidP="00FF3A9C">
            <w:pPr>
              <w:pStyle w:val="HWLEDef1"/>
              <w:numPr>
                <w:ilvl w:val="0"/>
                <w:numId w:val="18"/>
              </w:numPr>
            </w:pPr>
            <w:r>
              <w:t xml:space="preserve">ASX Listing Rules </w:t>
            </w:r>
          </w:p>
        </w:tc>
        <w:tc>
          <w:tcPr>
            <w:tcW w:w="5886" w:type="dxa"/>
          </w:tcPr>
          <w:p w14:paraId="6485CD5C" w14:textId="77777777" w:rsidR="00F67388" w:rsidRPr="004633B8" w:rsidRDefault="00F67388" w:rsidP="003B2096">
            <w:pPr>
              <w:pStyle w:val="HWLETblBodyText"/>
              <w:jc w:val="both"/>
              <w:rPr>
                <w:b/>
              </w:rPr>
            </w:pPr>
            <w:r>
              <w:t>means the listing rules of the ASX, as amended from time to time.</w:t>
            </w:r>
          </w:p>
        </w:tc>
      </w:tr>
      <w:tr w:rsidR="00F67388" w14:paraId="2E2CFECC" w14:textId="77777777" w:rsidTr="003B2096">
        <w:tc>
          <w:tcPr>
            <w:tcW w:w="1939" w:type="dxa"/>
          </w:tcPr>
          <w:p w14:paraId="5CE7E1ED" w14:textId="77777777" w:rsidR="00F67388" w:rsidRDefault="00F67388" w:rsidP="00FF3A9C">
            <w:pPr>
              <w:pStyle w:val="HWLEDef1"/>
              <w:numPr>
                <w:ilvl w:val="0"/>
                <w:numId w:val="18"/>
              </w:numPr>
            </w:pPr>
            <w:r w:rsidRPr="00ED136F">
              <w:t>Board</w:t>
            </w:r>
          </w:p>
        </w:tc>
        <w:tc>
          <w:tcPr>
            <w:tcW w:w="5886" w:type="dxa"/>
          </w:tcPr>
          <w:p w14:paraId="46D32B32" w14:textId="77777777" w:rsidR="00F67388" w:rsidRDefault="00F67388" w:rsidP="003B2096">
            <w:pPr>
              <w:pStyle w:val="HWLETblBodyText"/>
              <w:jc w:val="both"/>
            </w:pPr>
            <w:r>
              <w:t>means the board of Directors of the Company.</w:t>
            </w:r>
          </w:p>
        </w:tc>
      </w:tr>
      <w:tr w:rsidR="00E831E8" w14:paraId="0FF41CF3" w14:textId="77777777" w:rsidTr="003B2096">
        <w:tc>
          <w:tcPr>
            <w:tcW w:w="1939" w:type="dxa"/>
          </w:tcPr>
          <w:p w14:paraId="4539D6DF" w14:textId="18443065" w:rsidR="00E831E8" w:rsidRPr="00ED136F" w:rsidRDefault="00E831E8" w:rsidP="00FF3A9C">
            <w:pPr>
              <w:pStyle w:val="HWLEDef1"/>
              <w:numPr>
                <w:ilvl w:val="0"/>
                <w:numId w:val="18"/>
              </w:numPr>
            </w:pPr>
            <w:r>
              <w:t>Corporations Act</w:t>
            </w:r>
          </w:p>
        </w:tc>
        <w:tc>
          <w:tcPr>
            <w:tcW w:w="5886" w:type="dxa"/>
          </w:tcPr>
          <w:p w14:paraId="56F4FF54" w14:textId="13E4395D" w:rsidR="00E831E8" w:rsidRDefault="00E831E8" w:rsidP="003B2096">
            <w:pPr>
              <w:pStyle w:val="HWLETblBodyText"/>
              <w:jc w:val="both"/>
            </w:pPr>
            <w:r>
              <w:t xml:space="preserve">means the </w:t>
            </w:r>
            <w:r>
              <w:rPr>
                <w:i/>
              </w:rPr>
              <w:t>Corporations Act 2001</w:t>
            </w:r>
            <w:r>
              <w:t xml:space="preserve"> (Cth).</w:t>
            </w:r>
          </w:p>
        </w:tc>
      </w:tr>
      <w:tr w:rsidR="004022D5" w14:paraId="58AE590A" w14:textId="77777777" w:rsidTr="003B2096">
        <w:tc>
          <w:tcPr>
            <w:tcW w:w="1939" w:type="dxa"/>
          </w:tcPr>
          <w:p w14:paraId="12325C6C" w14:textId="73D0C718" w:rsidR="004022D5" w:rsidRPr="00ED136F" w:rsidRDefault="004022D5" w:rsidP="00FF3A9C">
            <w:pPr>
              <w:pStyle w:val="HWLEDef1"/>
              <w:numPr>
                <w:ilvl w:val="0"/>
                <w:numId w:val="18"/>
              </w:numPr>
            </w:pPr>
            <w:r>
              <w:t>Related Bodies Corporate</w:t>
            </w:r>
          </w:p>
        </w:tc>
        <w:tc>
          <w:tcPr>
            <w:tcW w:w="5886" w:type="dxa"/>
          </w:tcPr>
          <w:p w14:paraId="31104831" w14:textId="4A349967" w:rsidR="004022D5" w:rsidRPr="004022D5" w:rsidRDefault="004022D5" w:rsidP="003B2096">
            <w:pPr>
              <w:pStyle w:val="HWLETblBodyText"/>
              <w:jc w:val="both"/>
            </w:pPr>
            <w:r>
              <w:t>has the meaning given to it under the</w:t>
            </w:r>
            <w:r w:rsidR="00E831E8">
              <w:rPr>
                <w:i/>
              </w:rPr>
              <w:t xml:space="preserve"> </w:t>
            </w:r>
            <w:r w:rsidR="00E831E8" w:rsidRPr="00E831E8">
              <w:t>Corporations Act.</w:t>
            </w:r>
          </w:p>
        </w:tc>
      </w:tr>
      <w:tr w:rsidR="00F67388" w14:paraId="32DA79EA" w14:textId="77777777" w:rsidTr="003B2096">
        <w:tc>
          <w:tcPr>
            <w:tcW w:w="1939" w:type="dxa"/>
          </w:tcPr>
          <w:p w14:paraId="3655C68C" w14:textId="77777777" w:rsidR="00F67388" w:rsidRPr="00ED136F" w:rsidRDefault="00F67388" w:rsidP="00FF3A9C">
            <w:pPr>
              <w:pStyle w:val="HWLEDef1"/>
              <w:numPr>
                <w:ilvl w:val="0"/>
                <w:numId w:val="18"/>
              </w:numPr>
            </w:pPr>
            <w:r>
              <w:t>trade</w:t>
            </w:r>
          </w:p>
        </w:tc>
        <w:tc>
          <w:tcPr>
            <w:tcW w:w="5886" w:type="dxa"/>
          </w:tcPr>
          <w:p w14:paraId="13AEC579" w14:textId="60A1EDE5" w:rsidR="00F67388" w:rsidRDefault="00F67388" w:rsidP="003B2096">
            <w:pPr>
              <w:pStyle w:val="HWLETblBodyText"/>
              <w:jc w:val="both"/>
            </w:pPr>
            <w:r>
              <w:t>means a trade or other transaction involving securities</w:t>
            </w:r>
            <w:r w:rsidR="004022D5">
              <w:t xml:space="preserve">, and </w:t>
            </w:r>
            <w:r w:rsidR="004022D5">
              <w:rPr>
                <w:b/>
              </w:rPr>
              <w:t>trading</w:t>
            </w:r>
            <w:r w:rsidR="004022D5">
              <w:t xml:space="preserve"> has a similar meaning</w:t>
            </w:r>
            <w:r>
              <w:t>.</w:t>
            </w:r>
          </w:p>
        </w:tc>
      </w:tr>
      <w:tr w:rsidR="004022D5" w14:paraId="33D783E3" w14:textId="77777777" w:rsidTr="003B2096">
        <w:tc>
          <w:tcPr>
            <w:tcW w:w="1939" w:type="dxa"/>
          </w:tcPr>
          <w:p w14:paraId="7C8886A9" w14:textId="3A0880D6" w:rsidR="004022D5" w:rsidRDefault="004022D5" w:rsidP="00FF3A9C">
            <w:pPr>
              <w:pStyle w:val="HWLEDef1"/>
              <w:numPr>
                <w:ilvl w:val="0"/>
                <w:numId w:val="18"/>
              </w:numPr>
            </w:pPr>
            <w:r>
              <w:t>TSX-V</w:t>
            </w:r>
          </w:p>
        </w:tc>
        <w:tc>
          <w:tcPr>
            <w:tcW w:w="5886" w:type="dxa"/>
          </w:tcPr>
          <w:p w14:paraId="1CA2FD2E" w14:textId="07FE2D71" w:rsidR="004022D5" w:rsidRDefault="004022D5" w:rsidP="003B2096">
            <w:pPr>
              <w:pStyle w:val="HWLETblBodyText"/>
              <w:jc w:val="both"/>
            </w:pPr>
            <w:r>
              <w:t>means the TSX Venture Exchange.</w:t>
            </w:r>
          </w:p>
        </w:tc>
      </w:tr>
    </w:tbl>
    <w:p w14:paraId="0283E060" w14:textId="77777777" w:rsidR="00F67388" w:rsidRDefault="00F67388" w:rsidP="00FF3A9C">
      <w:pPr>
        <w:pStyle w:val="HWLELvl1"/>
        <w:numPr>
          <w:ilvl w:val="0"/>
          <w:numId w:val="19"/>
        </w:numPr>
        <w:pBdr>
          <w:between w:val="single" w:sz="8" w:space="1" w:color="898F4B"/>
        </w:pBdr>
        <w:jc w:val="both"/>
      </w:pPr>
      <w:bookmarkStart w:id="65" w:name="_Toc383613889"/>
      <w:bookmarkStart w:id="66" w:name="_Toc23167514"/>
      <w:bookmarkEnd w:id="62"/>
      <w:bookmarkEnd w:id="63"/>
      <w:bookmarkEnd w:id="64"/>
      <w:r>
        <w:t>What securities are covered by this Policy?</w:t>
      </w:r>
      <w:bookmarkEnd w:id="65"/>
      <w:bookmarkEnd w:id="66"/>
    </w:p>
    <w:p w14:paraId="1843789A" w14:textId="6E2EA900" w:rsidR="00F67388" w:rsidRDefault="00F67388" w:rsidP="00F67388">
      <w:pPr>
        <w:pStyle w:val="HWLEIndent"/>
        <w:jc w:val="both"/>
      </w:pPr>
      <w:bookmarkStart w:id="67" w:name="_Toc319329142"/>
      <w:bookmarkStart w:id="68" w:name="_Toc335036875"/>
      <w:r>
        <w:t xml:space="preserve">This Policy applies to the issue of new securities of the Company and its Related Bodies Corporate, and the </w:t>
      </w:r>
      <w:r w:rsidR="004022D5">
        <w:t>trade</w:t>
      </w:r>
      <w:r>
        <w:t xml:space="preserve"> of any securities issued by the Company </w:t>
      </w:r>
      <w:r w:rsidR="004022D5">
        <w:t>or</w:t>
      </w:r>
      <w:r>
        <w:t xml:space="preserve"> its Related Bodies Corporate from time to time. </w:t>
      </w:r>
    </w:p>
    <w:p w14:paraId="6F76687D" w14:textId="3C1C3F7D" w:rsidR="00F67388" w:rsidRPr="00995D75" w:rsidRDefault="00F67388" w:rsidP="00F67388">
      <w:pPr>
        <w:pStyle w:val="HWLEIndent"/>
        <w:keepNext/>
        <w:jc w:val="both"/>
      </w:pPr>
      <w:r w:rsidRPr="00995D75">
        <w:t>The definition</w:t>
      </w:r>
      <w:r w:rsidR="00521CE5">
        <w:t>s</w:t>
      </w:r>
      <w:r w:rsidRPr="00995D75">
        <w:t xml:space="preserve"> of </w:t>
      </w:r>
      <w:r w:rsidR="00E77C0F">
        <w:t>“</w:t>
      </w:r>
      <w:r w:rsidRPr="00995D75">
        <w:t>securities</w:t>
      </w:r>
      <w:r w:rsidR="00E77C0F">
        <w:t>”</w:t>
      </w:r>
      <w:r w:rsidRPr="00995D75">
        <w:t xml:space="preserve"> in</w:t>
      </w:r>
      <w:r>
        <w:t xml:space="preserve"> </w:t>
      </w:r>
      <w:r w:rsidR="004022D5">
        <w:t>A</w:t>
      </w:r>
      <w:r>
        <w:t xml:space="preserve">pplicable </w:t>
      </w:r>
      <w:r w:rsidR="004022D5">
        <w:t>Laws</w:t>
      </w:r>
      <w:r w:rsidRPr="00995D75">
        <w:t xml:space="preserve"> </w:t>
      </w:r>
      <w:r w:rsidR="004022D5">
        <w:t>are</w:t>
      </w:r>
      <w:r w:rsidRPr="00995D75">
        <w:t xml:space="preserve"> very broad.</w:t>
      </w:r>
      <w:r>
        <w:t xml:space="preserve"> </w:t>
      </w:r>
      <w:r w:rsidR="004022D5">
        <w:t>The Company’s s</w:t>
      </w:r>
      <w:r w:rsidRPr="00995D75">
        <w:t>ecurities include</w:t>
      </w:r>
      <w:r>
        <w:t>, but are not limited to</w:t>
      </w:r>
      <w:r w:rsidRPr="00995D75">
        <w:t>:</w:t>
      </w:r>
    </w:p>
    <w:p w14:paraId="2C936B43" w14:textId="5EFDAFB7" w:rsidR="00F67388" w:rsidRDefault="003E3275" w:rsidP="00FF3A9C">
      <w:pPr>
        <w:pStyle w:val="HWLELvl3"/>
        <w:numPr>
          <w:ilvl w:val="2"/>
          <w:numId w:val="19"/>
        </w:numPr>
        <w:jc w:val="both"/>
      </w:pPr>
      <w:r>
        <w:t xml:space="preserve">common </w:t>
      </w:r>
      <w:r w:rsidR="00F67388">
        <w:t>shares of the Company;</w:t>
      </w:r>
    </w:p>
    <w:p w14:paraId="2E86B9E4" w14:textId="77777777" w:rsidR="00F67388" w:rsidRDefault="00F67388" w:rsidP="00FF3A9C">
      <w:pPr>
        <w:pStyle w:val="HWLELvl3"/>
        <w:numPr>
          <w:ilvl w:val="2"/>
          <w:numId w:val="19"/>
        </w:numPr>
        <w:jc w:val="both"/>
      </w:pPr>
      <w:r>
        <w:t>options, warrants, and other convertible securities of the Company;</w:t>
      </w:r>
    </w:p>
    <w:p w14:paraId="01961D6C" w14:textId="77777777" w:rsidR="00F67388" w:rsidRDefault="00F67388" w:rsidP="00FF3A9C">
      <w:pPr>
        <w:pStyle w:val="HWLELvl3"/>
        <w:numPr>
          <w:ilvl w:val="2"/>
          <w:numId w:val="19"/>
        </w:numPr>
        <w:jc w:val="both"/>
      </w:pPr>
      <w:r>
        <w:t>CHESS Depositary Interests (CDIs) over the Company’s common shares;</w:t>
      </w:r>
    </w:p>
    <w:p w14:paraId="76F3778C" w14:textId="77777777" w:rsidR="00F67388" w:rsidRDefault="00F67388" w:rsidP="00FF3A9C">
      <w:pPr>
        <w:pStyle w:val="HWLELvl3"/>
        <w:numPr>
          <w:ilvl w:val="2"/>
          <w:numId w:val="19"/>
        </w:numPr>
        <w:jc w:val="both"/>
      </w:pPr>
      <w:r>
        <w:t>convertible debt issued by the Company; and</w:t>
      </w:r>
    </w:p>
    <w:p w14:paraId="753E225B" w14:textId="79D35B6D" w:rsidR="00F67388" w:rsidRDefault="00F67388" w:rsidP="00FF3A9C">
      <w:pPr>
        <w:pStyle w:val="HWLELvl3"/>
        <w:numPr>
          <w:ilvl w:val="2"/>
          <w:numId w:val="19"/>
        </w:numPr>
        <w:jc w:val="both"/>
      </w:pPr>
      <w:r w:rsidRPr="006C0AE0">
        <w:lastRenderedPageBreak/>
        <w:t>financial products</w:t>
      </w:r>
      <w:r w:rsidR="0051036E">
        <w:t xml:space="preserve"> or instruments</w:t>
      </w:r>
      <w:r w:rsidRPr="006C0AE0">
        <w:t xml:space="preserve"> issued or created over or in respect of securities issued by the Company, whether the financial products</w:t>
      </w:r>
      <w:r w:rsidR="0051036E">
        <w:t xml:space="preserve"> or instruments</w:t>
      </w:r>
      <w:r w:rsidRPr="006C0AE0">
        <w:t xml:space="preserve"> are created by the Company or by third parties.</w:t>
      </w:r>
    </w:p>
    <w:p w14:paraId="6BB8E309" w14:textId="77777777" w:rsidR="00F67388" w:rsidRDefault="00F67388" w:rsidP="00FF3A9C">
      <w:pPr>
        <w:pStyle w:val="HWLELvl1"/>
        <w:numPr>
          <w:ilvl w:val="0"/>
          <w:numId w:val="19"/>
        </w:numPr>
        <w:pBdr>
          <w:between w:val="single" w:sz="8" w:space="1" w:color="898F4B"/>
        </w:pBdr>
        <w:jc w:val="both"/>
      </w:pPr>
      <w:bookmarkStart w:id="69" w:name="_Toc383613890"/>
      <w:bookmarkStart w:id="70" w:name="_Toc23167515"/>
      <w:r>
        <w:t>Standards</w:t>
      </w:r>
      <w:bookmarkEnd w:id="67"/>
      <w:bookmarkEnd w:id="68"/>
      <w:bookmarkEnd w:id="69"/>
      <w:bookmarkEnd w:id="70"/>
    </w:p>
    <w:p w14:paraId="2EEAB25A" w14:textId="79A603F1" w:rsidR="00F67388" w:rsidRDefault="00F67388" w:rsidP="00F67388">
      <w:pPr>
        <w:pStyle w:val="HWLEIndent"/>
        <w:keepNext/>
        <w:jc w:val="both"/>
      </w:pPr>
      <w:bookmarkStart w:id="71" w:name="_Toc319329143"/>
      <w:bookmarkStart w:id="72" w:name="_Toc335036876"/>
      <w:r>
        <w:t>All Employees should ensure that all tr</w:t>
      </w:r>
      <w:r w:rsidR="004022D5">
        <w:t>ades</w:t>
      </w:r>
      <w:r>
        <w:t xml:space="preserve"> in the Company’s securities comply with</w:t>
      </w:r>
      <w:r w:rsidR="004022D5">
        <w:t xml:space="preserve"> all Applicable Laws (including Insider Trading provisions of those Applicable Laws).</w:t>
      </w:r>
    </w:p>
    <w:p w14:paraId="73CD4E57" w14:textId="623D96A7" w:rsidR="00F67388" w:rsidRDefault="00F67388" w:rsidP="00FF3A9C">
      <w:pPr>
        <w:pStyle w:val="HWLELvl1"/>
        <w:numPr>
          <w:ilvl w:val="0"/>
          <w:numId w:val="19"/>
        </w:numPr>
        <w:pBdr>
          <w:between w:val="single" w:sz="8" w:space="1" w:color="898F4B"/>
        </w:pBdr>
        <w:jc w:val="both"/>
      </w:pPr>
      <w:bookmarkStart w:id="73" w:name="_Toc383613891"/>
      <w:bookmarkStart w:id="74" w:name="_Toc23167516"/>
      <w:bookmarkStart w:id="75" w:name="_Ref53188497"/>
      <w:r>
        <w:t>Prohibition</w:t>
      </w:r>
      <w:r w:rsidR="0051036E">
        <w:t>s</w:t>
      </w:r>
      <w:r>
        <w:t xml:space="preserve"> on </w:t>
      </w:r>
      <w:r w:rsidR="0051036E">
        <w:t>I</w:t>
      </w:r>
      <w:r>
        <w:t xml:space="preserve">nsider </w:t>
      </w:r>
      <w:r w:rsidR="0051036E">
        <w:t>T</w:t>
      </w:r>
      <w:r>
        <w:t>rading</w:t>
      </w:r>
      <w:bookmarkEnd w:id="71"/>
      <w:bookmarkEnd w:id="72"/>
      <w:bookmarkEnd w:id="73"/>
      <w:bookmarkEnd w:id="74"/>
      <w:bookmarkEnd w:id="75"/>
      <w:r>
        <w:t xml:space="preserve"> </w:t>
      </w:r>
    </w:p>
    <w:p w14:paraId="6744EAC4" w14:textId="12620C0D" w:rsidR="0051036E" w:rsidRDefault="0051036E" w:rsidP="00FF3A9C">
      <w:pPr>
        <w:pStyle w:val="HWLELvl2"/>
        <w:numPr>
          <w:ilvl w:val="1"/>
          <w:numId w:val="19"/>
        </w:numPr>
        <w:jc w:val="both"/>
      </w:pPr>
      <w:bookmarkStart w:id="76" w:name="_Toc319329144"/>
      <w:bookmarkStart w:id="77" w:name="_Toc383613892"/>
      <w:r>
        <w:t>Dual Listing</w:t>
      </w:r>
    </w:p>
    <w:p w14:paraId="492F1D25" w14:textId="20502F0C" w:rsidR="00FE0DAC" w:rsidRDefault="0051036E" w:rsidP="000C1D1E">
      <w:pPr>
        <w:pStyle w:val="HWLELvl3"/>
        <w:numPr>
          <w:ilvl w:val="0"/>
          <w:numId w:val="0"/>
        </w:numPr>
        <w:ind w:left="709"/>
        <w:jc w:val="both"/>
      </w:pPr>
      <w:r>
        <w:t>The Company’s shares are listed on both the ASX and the TSX-V.</w:t>
      </w:r>
      <w:r w:rsidR="00FE0DAC">
        <w:t xml:space="preserve"> As such, the Company’s securities are subject to Applicable Laws related to Insider Trading in both Australia and Canada.</w:t>
      </w:r>
    </w:p>
    <w:p w14:paraId="26434E5A" w14:textId="6FC97548" w:rsidR="00F67388" w:rsidRPr="008C1FB1" w:rsidRDefault="00F67388" w:rsidP="00FF3A9C">
      <w:pPr>
        <w:pStyle w:val="HWLELvl2"/>
        <w:numPr>
          <w:ilvl w:val="1"/>
          <w:numId w:val="19"/>
        </w:numPr>
        <w:jc w:val="both"/>
      </w:pPr>
      <w:r>
        <w:t xml:space="preserve">Insider </w:t>
      </w:r>
      <w:r w:rsidR="0051036E">
        <w:t>T</w:t>
      </w:r>
      <w:r>
        <w:t>rading prohibition</w:t>
      </w:r>
      <w:bookmarkEnd w:id="76"/>
      <w:bookmarkEnd w:id="77"/>
      <w:r w:rsidR="0051036E">
        <w:t>s: Australia</w:t>
      </w:r>
    </w:p>
    <w:p w14:paraId="46D6F89E" w14:textId="4C6C4EB9" w:rsidR="00F67388" w:rsidRDefault="0051036E" w:rsidP="00FF3A9C">
      <w:pPr>
        <w:pStyle w:val="HWLELvl3"/>
        <w:numPr>
          <w:ilvl w:val="2"/>
          <w:numId w:val="19"/>
        </w:numPr>
        <w:jc w:val="both"/>
      </w:pPr>
      <w:bookmarkStart w:id="78" w:name="_Toc319329147"/>
      <w:bookmarkStart w:id="79" w:name="_Toc283194837"/>
      <w:bookmarkStart w:id="80" w:name="_Toc297626835"/>
      <w:bookmarkStart w:id="81" w:name="_Toc319329145"/>
      <w:r>
        <w:t>The Corporations Act</w:t>
      </w:r>
      <w:r w:rsidR="00F67388">
        <w:t xml:space="preserve"> make</w:t>
      </w:r>
      <w:r>
        <w:t>s</w:t>
      </w:r>
      <w:r w:rsidR="00F67388">
        <w:t xml:space="preserve"> it an offence</w:t>
      </w:r>
      <w:r w:rsidR="00FE0DAC">
        <w:t xml:space="preserve"> for a person in possession of information that is not generally available but which, if generally available, a reasonable person would expect it to have a material effect on the price or value of the Company’s securities to:</w:t>
      </w:r>
    </w:p>
    <w:p w14:paraId="407C2ADD" w14:textId="77777777" w:rsidR="00F67388" w:rsidRDefault="00F67388" w:rsidP="00FF3A9C">
      <w:pPr>
        <w:pStyle w:val="HWLELvl4"/>
        <w:numPr>
          <w:ilvl w:val="3"/>
          <w:numId w:val="19"/>
        </w:numPr>
        <w:jc w:val="both"/>
      </w:pPr>
      <w:r>
        <w:t xml:space="preserve">trade in (e.g., apply for, acquire or dispose of, or enter into an agreement to do any of these things) the Company’s securities; or </w:t>
      </w:r>
    </w:p>
    <w:p w14:paraId="768548F5" w14:textId="77777777" w:rsidR="00F67388" w:rsidRDefault="00F67388" w:rsidP="00FF3A9C">
      <w:pPr>
        <w:pStyle w:val="HWLELvl4"/>
        <w:numPr>
          <w:ilvl w:val="3"/>
          <w:numId w:val="19"/>
        </w:numPr>
        <w:jc w:val="both"/>
      </w:pPr>
      <w:r>
        <w:t>procure another person to trade in the Company’s securities,</w:t>
      </w:r>
    </w:p>
    <w:p w14:paraId="724CD5B0" w14:textId="1E37CC5D" w:rsidR="00F67388" w:rsidRDefault="00F67388" w:rsidP="00F67388">
      <w:pPr>
        <w:pStyle w:val="HWLEIndent"/>
        <w:ind w:firstLine="709"/>
        <w:jc w:val="both"/>
      </w:pPr>
      <w:r>
        <w:t xml:space="preserve">(each a </w:t>
      </w:r>
      <w:r w:rsidR="00E77C0F">
        <w:t>“</w:t>
      </w:r>
      <w:r w:rsidRPr="000C1D1E">
        <w:rPr>
          <w:b/>
        </w:rPr>
        <w:t>dealing in the Company’s securities</w:t>
      </w:r>
      <w:r w:rsidR="00E77C0F">
        <w:t>”</w:t>
      </w:r>
      <w:r>
        <w:t>).</w:t>
      </w:r>
    </w:p>
    <w:p w14:paraId="2BBD981A" w14:textId="662E8249" w:rsidR="0051036E" w:rsidRDefault="00F67388" w:rsidP="00FF3A9C">
      <w:pPr>
        <w:pStyle w:val="HWLELvl3"/>
        <w:numPr>
          <w:ilvl w:val="2"/>
          <w:numId w:val="19"/>
        </w:numPr>
        <w:jc w:val="both"/>
      </w:pPr>
      <w:r>
        <w:t xml:space="preserve">It is an offence to communicate </w:t>
      </w:r>
      <w:r w:rsidR="0051036E">
        <w:t xml:space="preserve">price-sensitive </w:t>
      </w:r>
      <w:r>
        <w:t xml:space="preserve">information to another person with the knowledge that the person could deal in the Company’s securities. Accordingly, the prohibition on </w:t>
      </w:r>
      <w:r w:rsidR="0051036E">
        <w:t>I</w:t>
      </w:r>
      <w:r>
        <w:t xml:space="preserve">nsider </w:t>
      </w:r>
      <w:r w:rsidR="0051036E">
        <w:t>T</w:t>
      </w:r>
      <w:r>
        <w:t>rading cannot be avoided by a person procuring or arranging for another person to deal on his or her behalf.</w:t>
      </w:r>
    </w:p>
    <w:p w14:paraId="0EC50F36" w14:textId="6BF8FD5D" w:rsidR="000C1D1E" w:rsidRDefault="009A51D3" w:rsidP="00FF3A9C">
      <w:pPr>
        <w:pStyle w:val="HWLELvl3"/>
        <w:numPr>
          <w:ilvl w:val="2"/>
          <w:numId w:val="19"/>
        </w:numPr>
        <w:jc w:val="both"/>
      </w:pPr>
      <w:r>
        <w:t>For the purposes of this Policy, i</w:t>
      </w:r>
      <w:r w:rsidR="000C1D1E">
        <w:t xml:space="preserve">nformation is </w:t>
      </w:r>
      <w:r w:rsidR="00E77C0F">
        <w:t>“</w:t>
      </w:r>
      <w:r w:rsidR="000C1D1E" w:rsidRPr="000C1D1E">
        <w:rPr>
          <w:b/>
        </w:rPr>
        <w:t>generally available</w:t>
      </w:r>
      <w:r w:rsidR="00E77C0F">
        <w:t>”</w:t>
      </w:r>
      <w:r w:rsidR="000C1D1E">
        <w:t xml:space="preserve"> if:</w:t>
      </w:r>
    </w:p>
    <w:p w14:paraId="38E53B19" w14:textId="77777777" w:rsidR="000C1D1E" w:rsidRDefault="000C1D1E" w:rsidP="00FF3A9C">
      <w:pPr>
        <w:pStyle w:val="HWLELvl3"/>
        <w:numPr>
          <w:ilvl w:val="3"/>
          <w:numId w:val="19"/>
        </w:numPr>
        <w:jc w:val="both"/>
      </w:pPr>
      <w:r>
        <w:t>it consists of a readily observable matter;</w:t>
      </w:r>
    </w:p>
    <w:p w14:paraId="4D18F590" w14:textId="77777777" w:rsidR="000C1D1E" w:rsidRDefault="000C1D1E" w:rsidP="00FF3A9C">
      <w:pPr>
        <w:pStyle w:val="HWLELvl3"/>
        <w:numPr>
          <w:ilvl w:val="3"/>
          <w:numId w:val="19"/>
        </w:numPr>
        <w:jc w:val="both"/>
      </w:pPr>
      <w:r>
        <w:t>it has been made known in a manner likely to bring the information to the attention of people who commonly invest in securities of a kind whose price or value might be affected by the information, and, since it was made known, a reasonable period for it to be disseminated among such persons has elapsed;</w:t>
      </w:r>
    </w:p>
    <w:p w14:paraId="51917A17" w14:textId="77777777" w:rsidR="000C1D1E" w:rsidRDefault="000C1D1E" w:rsidP="00FF3A9C">
      <w:pPr>
        <w:pStyle w:val="HWLELvl3"/>
        <w:numPr>
          <w:ilvl w:val="3"/>
          <w:numId w:val="19"/>
        </w:numPr>
        <w:jc w:val="both"/>
      </w:pPr>
      <w:r>
        <w:t>it is derived from information which has been made public; or</w:t>
      </w:r>
    </w:p>
    <w:p w14:paraId="5505A9F5" w14:textId="77777777" w:rsidR="000C1D1E" w:rsidRDefault="000C1D1E" w:rsidP="00FF3A9C">
      <w:pPr>
        <w:pStyle w:val="HWLELvl3"/>
        <w:numPr>
          <w:ilvl w:val="3"/>
          <w:numId w:val="19"/>
        </w:numPr>
        <w:jc w:val="both"/>
      </w:pPr>
      <w:r>
        <w:t>it consists of observations, deductions, conclusions or inferences made or drawn from other generally available information.</w:t>
      </w:r>
    </w:p>
    <w:p w14:paraId="7491481E" w14:textId="18E2FD6C" w:rsidR="00F67388" w:rsidRDefault="009F55A1" w:rsidP="00FF3A9C">
      <w:pPr>
        <w:pStyle w:val="HWLELvl3"/>
        <w:numPr>
          <w:ilvl w:val="2"/>
          <w:numId w:val="19"/>
        </w:numPr>
        <w:jc w:val="both"/>
      </w:pPr>
      <w:r>
        <w:t xml:space="preserve">For the purposes of this Policy, </w:t>
      </w:r>
      <w:r w:rsidR="00E77C0F">
        <w:t>“</w:t>
      </w:r>
      <w:r>
        <w:rPr>
          <w:b/>
        </w:rPr>
        <w:t>p</w:t>
      </w:r>
      <w:r w:rsidR="00F67388" w:rsidRPr="000C1D1E">
        <w:rPr>
          <w:b/>
        </w:rPr>
        <w:t>rice-sensitive information</w:t>
      </w:r>
      <w:r w:rsidR="00E77C0F">
        <w:t>”</w:t>
      </w:r>
      <w:r w:rsidR="00F67388">
        <w:t xml:space="preserve"> means information relating to the Company or the Company’s subsidiaries that would, if the information were publicly known, be likely to:</w:t>
      </w:r>
    </w:p>
    <w:p w14:paraId="04889B31" w14:textId="77777777" w:rsidR="00F67388" w:rsidRDefault="00F67388" w:rsidP="00FF3A9C">
      <w:pPr>
        <w:pStyle w:val="HWLELvl3"/>
        <w:numPr>
          <w:ilvl w:val="3"/>
          <w:numId w:val="19"/>
        </w:numPr>
        <w:jc w:val="both"/>
      </w:pPr>
      <w:r>
        <w:t>have a material effect on the price or value of the Company’s securities; or</w:t>
      </w:r>
    </w:p>
    <w:p w14:paraId="07B656AF" w14:textId="77777777" w:rsidR="00F67388" w:rsidRDefault="00F67388" w:rsidP="00FF3A9C">
      <w:pPr>
        <w:pStyle w:val="HWLELvl3"/>
        <w:numPr>
          <w:ilvl w:val="3"/>
          <w:numId w:val="19"/>
        </w:numPr>
        <w:jc w:val="both"/>
      </w:pPr>
      <w:r>
        <w:t>influence persons who commonly invest in securities in deciding whether or not to buy or sell the Company’s securities.</w:t>
      </w:r>
    </w:p>
    <w:p w14:paraId="156CFEDF" w14:textId="77777777" w:rsidR="00F67388" w:rsidRDefault="00F67388" w:rsidP="00FF3A9C">
      <w:pPr>
        <w:pStyle w:val="HWLELvl3"/>
        <w:numPr>
          <w:ilvl w:val="2"/>
          <w:numId w:val="19"/>
        </w:numPr>
        <w:jc w:val="both"/>
      </w:pPr>
      <w:bookmarkStart w:id="82" w:name="_Ref53188607"/>
      <w:bookmarkStart w:id="83" w:name="_Toc283194838"/>
      <w:bookmarkStart w:id="84" w:name="_Toc297626836"/>
      <w:bookmarkStart w:id="85" w:name="_Toc319329146"/>
      <w:bookmarkEnd w:id="78"/>
      <w:bookmarkEnd w:id="79"/>
      <w:bookmarkEnd w:id="80"/>
      <w:bookmarkEnd w:id="81"/>
      <w:r>
        <w:t>Examples of possible price-sensitive information include, but are not limited to, the following:</w:t>
      </w:r>
      <w:bookmarkEnd w:id="82"/>
    </w:p>
    <w:p w14:paraId="117A6D55" w14:textId="77777777" w:rsidR="00F67388" w:rsidRDefault="00F67388" w:rsidP="00FF3A9C">
      <w:pPr>
        <w:pStyle w:val="HWLELvl3"/>
        <w:numPr>
          <w:ilvl w:val="3"/>
          <w:numId w:val="19"/>
        </w:numPr>
        <w:jc w:val="both"/>
      </w:pPr>
      <w:r>
        <w:t>information relating to Company drilling exploration results or reserve statements;</w:t>
      </w:r>
    </w:p>
    <w:p w14:paraId="20C111D3" w14:textId="77777777" w:rsidR="00F67388" w:rsidRDefault="00F67388" w:rsidP="00FF3A9C">
      <w:pPr>
        <w:pStyle w:val="HWLELvl3"/>
        <w:numPr>
          <w:ilvl w:val="3"/>
          <w:numId w:val="19"/>
        </w:numPr>
        <w:jc w:val="both"/>
      </w:pPr>
      <w:r>
        <w:t>information on the outcome of any economic studies, such as pre-feasibility studies or definitive feasibility studies;</w:t>
      </w:r>
    </w:p>
    <w:p w14:paraId="29D58B1E" w14:textId="77777777" w:rsidR="00F67388" w:rsidRDefault="00F67388" w:rsidP="00FF3A9C">
      <w:pPr>
        <w:pStyle w:val="HWLELvl3"/>
        <w:numPr>
          <w:ilvl w:val="3"/>
          <w:numId w:val="19"/>
        </w:numPr>
        <w:jc w:val="both"/>
      </w:pPr>
      <w:r>
        <w:t xml:space="preserve">information on changes in production or production forecasts; </w:t>
      </w:r>
    </w:p>
    <w:p w14:paraId="0046D1F9" w14:textId="77777777" w:rsidR="00F67388" w:rsidRDefault="00F67388" w:rsidP="00FF3A9C">
      <w:pPr>
        <w:pStyle w:val="HWLELvl3"/>
        <w:numPr>
          <w:ilvl w:val="3"/>
          <w:numId w:val="19"/>
        </w:numPr>
        <w:jc w:val="both"/>
      </w:pPr>
      <w:r>
        <w:t xml:space="preserve">information relating to the Company’s financial results or forecast results; </w:t>
      </w:r>
    </w:p>
    <w:p w14:paraId="37F1E94A" w14:textId="77777777" w:rsidR="00F67388" w:rsidRPr="00995D75" w:rsidRDefault="00F67388" w:rsidP="00FF3A9C">
      <w:pPr>
        <w:pStyle w:val="HWLELvl3"/>
        <w:numPr>
          <w:ilvl w:val="3"/>
          <w:numId w:val="19"/>
        </w:numPr>
        <w:jc w:val="both"/>
      </w:pPr>
      <w:r>
        <w:t xml:space="preserve">a </w:t>
      </w:r>
      <w:r w:rsidRPr="00995D75">
        <w:t>material acquisition, joint venture, realisation or disposal of assets;</w:t>
      </w:r>
    </w:p>
    <w:p w14:paraId="568F9FB0" w14:textId="77777777" w:rsidR="00F67388" w:rsidRPr="00995D75" w:rsidRDefault="00F67388" w:rsidP="00FF3A9C">
      <w:pPr>
        <w:pStyle w:val="HWLELvl3"/>
        <w:numPr>
          <w:ilvl w:val="3"/>
          <w:numId w:val="19"/>
        </w:numPr>
        <w:jc w:val="both"/>
      </w:pPr>
      <w:r>
        <w:t xml:space="preserve">a </w:t>
      </w:r>
      <w:r w:rsidRPr="00995D75">
        <w:t xml:space="preserve">threat of material litigation against </w:t>
      </w:r>
      <w:r>
        <w:t>the Company</w:t>
      </w:r>
      <w:r w:rsidRPr="00995D75">
        <w:t>;</w:t>
      </w:r>
    </w:p>
    <w:p w14:paraId="5EEE0910" w14:textId="77777777" w:rsidR="00F67388" w:rsidRPr="00995D75" w:rsidRDefault="00F67388" w:rsidP="00FF3A9C">
      <w:pPr>
        <w:pStyle w:val="HWLELvl3"/>
        <w:numPr>
          <w:ilvl w:val="3"/>
          <w:numId w:val="19"/>
        </w:numPr>
        <w:jc w:val="both"/>
      </w:pPr>
      <w:r>
        <w:t>the Company’</w:t>
      </w:r>
      <w:r w:rsidRPr="00995D75">
        <w:t>s sales and profit results materially exceeding or falling short of the market</w:t>
      </w:r>
      <w:r>
        <w:t>’</w:t>
      </w:r>
      <w:r w:rsidRPr="00995D75">
        <w:t>s expectations</w:t>
      </w:r>
      <w:r>
        <w:t xml:space="preserve"> or the previously announced guidance by the Company</w:t>
      </w:r>
      <w:r w:rsidRPr="00995D75">
        <w:t>;</w:t>
      </w:r>
    </w:p>
    <w:p w14:paraId="6CDE9AC1" w14:textId="77777777" w:rsidR="00F67388" w:rsidRPr="00995D75" w:rsidRDefault="00F67388" w:rsidP="00FF3A9C">
      <w:pPr>
        <w:pStyle w:val="HWLELvl3"/>
        <w:numPr>
          <w:ilvl w:val="3"/>
          <w:numId w:val="19"/>
        </w:numPr>
        <w:jc w:val="both"/>
      </w:pPr>
      <w:r w:rsidRPr="00995D75">
        <w:t>a material change in debt, liquidity or cash flow;</w:t>
      </w:r>
    </w:p>
    <w:p w14:paraId="32E3C631" w14:textId="340304E4" w:rsidR="00F67388" w:rsidRPr="00995D75" w:rsidRDefault="00F67388" w:rsidP="00FF3A9C">
      <w:pPr>
        <w:pStyle w:val="HWLELvl3"/>
        <w:numPr>
          <w:ilvl w:val="3"/>
          <w:numId w:val="19"/>
        </w:numPr>
        <w:jc w:val="both"/>
      </w:pPr>
      <w:r w:rsidRPr="00995D75">
        <w:t xml:space="preserve">a significant new development proposal </w:t>
      </w:r>
      <w:r>
        <w:t>(</w:t>
      </w:r>
      <w:r w:rsidR="00F461B0" w:rsidRPr="00995D75">
        <w:t>i.</w:t>
      </w:r>
      <w:r w:rsidR="00F461B0">
        <w:t>e.</w:t>
      </w:r>
      <w:r w:rsidRPr="00995D75">
        <w:t xml:space="preserve"> </w:t>
      </w:r>
      <w:r>
        <w:t xml:space="preserve">a </w:t>
      </w:r>
      <w:r w:rsidRPr="00995D75">
        <w:t>new product or technology</w:t>
      </w:r>
      <w:r>
        <w:t>)</w:t>
      </w:r>
      <w:r w:rsidRPr="00995D75">
        <w:t>;</w:t>
      </w:r>
    </w:p>
    <w:p w14:paraId="673704D0" w14:textId="77777777" w:rsidR="00F67388" w:rsidRPr="00995D75" w:rsidRDefault="00F67388" w:rsidP="00FF3A9C">
      <w:pPr>
        <w:pStyle w:val="HWLELvl3"/>
        <w:numPr>
          <w:ilvl w:val="3"/>
          <w:numId w:val="19"/>
        </w:numPr>
        <w:jc w:val="both"/>
      </w:pPr>
      <w:r w:rsidRPr="00995D75">
        <w:t xml:space="preserve">the granting or </w:t>
      </w:r>
      <w:r>
        <w:t>refusal of</w:t>
      </w:r>
      <w:r w:rsidRPr="00995D75">
        <w:t xml:space="preserve"> a major contract;</w:t>
      </w:r>
    </w:p>
    <w:p w14:paraId="44C0968C" w14:textId="77777777" w:rsidR="00F67388" w:rsidRPr="00995D75" w:rsidRDefault="00F67388" w:rsidP="00FF3A9C">
      <w:pPr>
        <w:pStyle w:val="HWLELvl3"/>
        <w:numPr>
          <w:ilvl w:val="3"/>
          <w:numId w:val="19"/>
        </w:numPr>
        <w:jc w:val="both"/>
      </w:pPr>
      <w:r>
        <w:t xml:space="preserve">a </w:t>
      </w:r>
      <w:r w:rsidRPr="00995D75">
        <w:t xml:space="preserve">management or business restructuring proposal; </w:t>
      </w:r>
    </w:p>
    <w:p w14:paraId="2B5C63C9" w14:textId="77777777" w:rsidR="00F67388" w:rsidRPr="00995D75" w:rsidRDefault="00F67388" w:rsidP="00FF3A9C">
      <w:pPr>
        <w:pStyle w:val="HWLELvl3"/>
        <w:numPr>
          <w:ilvl w:val="3"/>
          <w:numId w:val="19"/>
        </w:numPr>
        <w:jc w:val="both"/>
      </w:pPr>
      <w:r>
        <w:t xml:space="preserve">a </w:t>
      </w:r>
      <w:r w:rsidRPr="00995D75">
        <w:t xml:space="preserve">change in the capital structure, </w:t>
      </w:r>
      <w:r>
        <w:t xml:space="preserve">such as a </w:t>
      </w:r>
      <w:r w:rsidRPr="00995D75">
        <w:t xml:space="preserve">capital return </w:t>
      </w:r>
      <w:r>
        <w:t xml:space="preserve">or the </w:t>
      </w:r>
      <w:r w:rsidRPr="00995D75">
        <w:t xml:space="preserve">buy back of </w:t>
      </w:r>
      <w:r>
        <w:t xml:space="preserve">a </w:t>
      </w:r>
      <w:r w:rsidRPr="00995D75">
        <w:t>financial product;</w:t>
      </w:r>
    </w:p>
    <w:p w14:paraId="126CD137" w14:textId="77777777" w:rsidR="00F67388" w:rsidRPr="00995D75" w:rsidRDefault="00F67388" w:rsidP="00FF3A9C">
      <w:pPr>
        <w:pStyle w:val="HWLELvl3"/>
        <w:numPr>
          <w:ilvl w:val="3"/>
          <w:numId w:val="19"/>
        </w:numPr>
        <w:jc w:val="both"/>
      </w:pPr>
      <w:r>
        <w:t xml:space="preserve">a payment of </w:t>
      </w:r>
      <w:r w:rsidRPr="00995D75">
        <w:t xml:space="preserve">dividends </w:t>
      </w:r>
      <w:r>
        <w:t xml:space="preserve">or a </w:t>
      </w:r>
      <w:r w:rsidRPr="00995D75">
        <w:t>share issue;</w:t>
      </w:r>
    </w:p>
    <w:p w14:paraId="73A2F17C" w14:textId="77777777" w:rsidR="00F67388" w:rsidRPr="00995D75" w:rsidRDefault="00F67388" w:rsidP="00FF3A9C">
      <w:pPr>
        <w:pStyle w:val="HWLELvl3"/>
        <w:numPr>
          <w:ilvl w:val="3"/>
          <w:numId w:val="19"/>
        </w:numPr>
        <w:jc w:val="both"/>
      </w:pPr>
      <w:r>
        <w:t xml:space="preserve">a </w:t>
      </w:r>
      <w:r w:rsidRPr="00995D75">
        <w:t>change to the Board</w:t>
      </w:r>
      <w:r>
        <w:t xml:space="preserve"> or significant changes in senior management</w:t>
      </w:r>
      <w:r w:rsidRPr="00995D75">
        <w:t>;</w:t>
      </w:r>
    </w:p>
    <w:p w14:paraId="4D171F54" w14:textId="77777777" w:rsidR="00F67388" w:rsidRPr="00995D75" w:rsidRDefault="00F67388" w:rsidP="00FF3A9C">
      <w:pPr>
        <w:pStyle w:val="HWLELvl3"/>
        <w:numPr>
          <w:ilvl w:val="3"/>
          <w:numId w:val="19"/>
        </w:numPr>
        <w:jc w:val="both"/>
      </w:pPr>
      <w:r>
        <w:t xml:space="preserve">the entering into of </w:t>
      </w:r>
      <w:r w:rsidRPr="00995D75">
        <w:t>an agreement or option to acquire an interest in a</w:t>
      </w:r>
      <w:r>
        <w:t>n asset or business</w:t>
      </w:r>
      <w:r w:rsidRPr="00995D75">
        <w:t xml:space="preserve">, or to enter into a joint venture or </w:t>
      </w:r>
      <w:r>
        <w:t xml:space="preserve">other </w:t>
      </w:r>
      <w:r w:rsidRPr="00995D75">
        <w:t>arrangement in relation to a</w:t>
      </w:r>
      <w:r>
        <w:t>n asset or business</w:t>
      </w:r>
      <w:r w:rsidRPr="00995D75">
        <w:t>; and</w:t>
      </w:r>
    </w:p>
    <w:p w14:paraId="0B19A7F8" w14:textId="33A72511" w:rsidR="00F67388" w:rsidRDefault="00F67388" w:rsidP="00FF3A9C">
      <w:pPr>
        <w:pStyle w:val="HWLELvl3"/>
        <w:numPr>
          <w:ilvl w:val="3"/>
          <w:numId w:val="19"/>
        </w:numPr>
        <w:jc w:val="both"/>
      </w:pPr>
      <w:r w:rsidRPr="00995D75">
        <w:t xml:space="preserve">any information required to be announced to the market pursuant to </w:t>
      </w:r>
      <w:r>
        <w:t xml:space="preserve">ASX </w:t>
      </w:r>
      <w:r w:rsidRPr="00995D75">
        <w:t>Listing Rule </w:t>
      </w:r>
      <w:r>
        <w:t xml:space="preserve">3.1 (the </w:t>
      </w:r>
      <w:r w:rsidRPr="000C1D1E">
        <w:t>Continuous Disclosure Rule</w:t>
      </w:r>
      <w:r w:rsidRPr="00995D75">
        <w:t>)</w:t>
      </w:r>
      <w:r>
        <w:t xml:space="preserve"> which is yet to be released to the market.</w:t>
      </w:r>
      <w:r w:rsidRPr="00995D75">
        <w:t xml:space="preserve"> </w:t>
      </w:r>
    </w:p>
    <w:p w14:paraId="2E45CDF3" w14:textId="30BDD4EE" w:rsidR="00E831E8" w:rsidRPr="00995D75" w:rsidRDefault="00E831E8" w:rsidP="00FF3A9C">
      <w:pPr>
        <w:pStyle w:val="HWLELvl3"/>
        <w:numPr>
          <w:ilvl w:val="2"/>
          <w:numId w:val="19"/>
        </w:numPr>
        <w:jc w:val="both"/>
      </w:pPr>
      <w:r>
        <w:t xml:space="preserve">The </w:t>
      </w:r>
      <w:r w:rsidRPr="00CC2440">
        <w:t>ASX requires the Company, as a listed entity, to have a trading policy that restricts its key management personnel from trading in its securities during certain closed periods.</w:t>
      </w:r>
      <w:r>
        <w:t xml:space="preserve"> For the purposes of the ASX Listing Rules, t</w:t>
      </w:r>
      <w:r w:rsidRPr="00CC2440">
        <w:t xml:space="preserve">he Company has determined that its key management personnel are its Directors, </w:t>
      </w:r>
      <w:r>
        <w:t>Chief Executive Officer</w:t>
      </w:r>
      <w:r w:rsidRPr="00CC2440">
        <w:t xml:space="preserve"> and </w:t>
      </w:r>
      <w:r>
        <w:t xml:space="preserve">Company </w:t>
      </w:r>
      <w:r w:rsidRPr="00CC2440">
        <w:t>Secretary, and any employee (whether full-time, part-time or casual) having authority and responsibility for planning, directing and controlling, directly or indirectly, the activities of the Company</w:t>
      </w:r>
      <w:r w:rsidR="00E77C0F">
        <w:t xml:space="preserve"> (</w:t>
      </w:r>
      <w:r w:rsidR="00E77C0F" w:rsidRPr="00E77C0F">
        <w:rPr>
          <w:b/>
        </w:rPr>
        <w:t>Key Management Personnel</w:t>
      </w:r>
      <w:r w:rsidR="00E77C0F">
        <w:t>)</w:t>
      </w:r>
      <w:r w:rsidRPr="00CC2440">
        <w:t>.</w:t>
      </w:r>
    </w:p>
    <w:p w14:paraId="2366CA6A" w14:textId="2BE7B1DA" w:rsidR="000C1D1E" w:rsidRDefault="000C1D1E" w:rsidP="00FF3A9C">
      <w:pPr>
        <w:pStyle w:val="HWLELvl2"/>
        <w:numPr>
          <w:ilvl w:val="1"/>
          <w:numId w:val="19"/>
        </w:numPr>
        <w:jc w:val="both"/>
      </w:pPr>
      <w:bookmarkStart w:id="86" w:name="_Toc319329148"/>
      <w:bookmarkStart w:id="87" w:name="_Toc383613896"/>
      <w:bookmarkEnd w:id="83"/>
      <w:bookmarkEnd w:id="84"/>
      <w:bookmarkEnd w:id="85"/>
      <w:r>
        <w:t>Insider Trading prohibitions: Canada</w:t>
      </w:r>
    </w:p>
    <w:p w14:paraId="531BA2D9" w14:textId="29092E57" w:rsidR="000C1D1E" w:rsidRPr="000C1D1E" w:rsidRDefault="000C1D1E" w:rsidP="00FF3A9C">
      <w:pPr>
        <w:pStyle w:val="HWLELvl3"/>
        <w:numPr>
          <w:ilvl w:val="2"/>
          <w:numId w:val="19"/>
        </w:numPr>
        <w:jc w:val="both"/>
      </w:pPr>
      <w:r w:rsidRPr="000C1D1E">
        <w:t>A</w:t>
      </w:r>
      <w:r>
        <w:t>n Employee</w:t>
      </w:r>
      <w:r w:rsidRPr="000C1D1E">
        <w:t xml:space="preserve"> must not </w:t>
      </w:r>
      <w:r w:rsidR="009A51D3">
        <w:t xml:space="preserve">make a </w:t>
      </w:r>
      <w:r w:rsidRPr="000C1D1E">
        <w:t>tra</w:t>
      </w:r>
      <w:r>
        <w:t>de</w:t>
      </w:r>
      <w:r w:rsidRPr="000C1D1E">
        <w:t xml:space="preserve"> involving a security </w:t>
      </w:r>
      <w:r>
        <w:t xml:space="preserve">of the Company </w:t>
      </w:r>
      <w:r w:rsidRPr="000C1D1E">
        <w:t xml:space="preserve">if the </w:t>
      </w:r>
      <w:r>
        <w:t xml:space="preserve">Employee </w:t>
      </w:r>
      <w:r w:rsidRPr="000C1D1E">
        <w:t xml:space="preserve">knows of a material fact or material change with respect to the </w:t>
      </w:r>
      <w:r w:rsidR="009A51D3">
        <w:t>Company</w:t>
      </w:r>
      <w:r w:rsidRPr="000C1D1E">
        <w:t xml:space="preserve"> which has not been generally disclosed.</w:t>
      </w:r>
    </w:p>
    <w:p w14:paraId="45E3699E" w14:textId="604391F3" w:rsidR="000C1D1E" w:rsidRPr="000C1D1E" w:rsidRDefault="000C1D1E" w:rsidP="00FF3A9C">
      <w:pPr>
        <w:pStyle w:val="HWLELvl3"/>
        <w:numPr>
          <w:ilvl w:val="2"/>
          <w:numId w:val="19"/>
        </w:numPr>
        <w:jc w:val="both"/>
      </w:pPr>
      <w:bookmarkStart w:id="88" w:name="d2e5552"/>
      <w:bookmarkEnd w:id="88"/>
      <w:r>
        <w:t>Employees</w:t>
      </w:r>
      <w:r w:rsidRPr="000C1D1E">
        <w:t xml:space="preserve"> must not inform another person of a material fact or material change with respect to the </w:t>
      </w:r>
      <w:r>
        <w:t>Company</w:t>
      </w:r>
      <w:r w:rsidRPr="000C1D1E">
        <w:t xml:space="preserve"> unless</w:t>
      </w:r>
      <w:r w:rsidR="00FE0DAC">
        <w:t>:</w:t>
      </w:r>
    </w:p>
    <w:p w14:paraId="4057A053" w14:textId="43B74879" w:rsidR="000C1D1E" w:rsidRPr="000C1D1E" w:rsidRDefault="000C1D1E" w:rsidP="00FF3A9C">
      <w:pPr>
        <w:pStyle w:val="HWLELvl3"/>
        <w:numPr>
          <w:ilvl w:val="3"/>
          <w:numId w:val="19"/>
        </w:numPr>
        <w:jc w:val="both"/>
      </w:pPr>
      <w:bookmarkStart w:id="89" w:name="d2e5579"/>
      <w:bookmarkEnd w:id="89"/>
      <w:r w:rsidRPr="000C1D1E">
        <w:t>the material fact or material change has been generally disclosed, or</w:t>
      </w:r>
    </w:p>
    <w:p w14:paraId="7CAE6664" w14:textId="52E8A3E0" w:rsidR="000C1D1E" w:rsidRDefault="000C1D1E" w:rsidP="00FF3A9C">
      <w:pPr>
        <w:pStyle w:val="HWLELvl3"/>
        <w:numPr>
          <w:ilvl w:val="3"/>
          <w:numId w:val="19"/>
        </w:numPr>
        <w:jc w:val="both"/>
      </w:pPr>
      <w:bookmarkStart w:id="90" w:name="d2e5588"/>
      <w:bookmarkEnd w:id="90"/>
      <w:r w:rsidRPr="000C1D1E">
        <w:t>informing the person is necessary in the</w:t>
      </w:r>
      <w:r w:rsidR="009A51D3">
        <w:t xml:space="preserve"> </w:t>
      </w:r>
      <w:r w:rsidRPr="000C1D1E">
        <w:t xml:space="preserve">course of business of the </w:t>
      </w:r>
      <w:r>
        <w:t>Employee</w:t>
      </w:r>
      <w:r w:rsidRPr="000C1D1E">
        <w:t>.</w:t>
      </w:r>
    </w:p>
    <w:p w14:paraId="41E39C85" w14:textId="1D97689B" w:rsidR="009A51D3" w:rsidRDefault="009A51D3" w:rsidP="00FF3A9C">
      <w:pPr>
        <w:pStyle w:val="HWLELvl3"/>
        <w:numPr>
          <w:ilvl w:val="2"/>
          <w:numId w:val="19"/>
        </w:numPr>
        <w:jc w:val="both"/>
      </w:pPr>
      <w:r>
        <w:t>For the purposes of this Policy:</w:t>
      </w:r>
    </w:p>
    <w:p w14:paraId="79EC0340" w14:textId="592A7B7D" w:rsidR="009A51D3" w:rsidRDefault="00E77C0F" w:rsidP="00FF3A9C">
      <w:pPr>
        <w:pStyle w:val="HWLELvl3"/>
        <w:numPr>
          <w:ilvl w:val="3"/>
          <w:numId w:val="19"/>
        </w:numPr>
        <w:jc w:val="both"/>
      </w:pPr>
      <w:r>
        <w:t>“</w:t>
      </w:r>
      <w:r w:rsidR="009A51D3" w:rsidRPr="009A51D3">
        <w:rPr>
          <w:b/>
        </w:rPr>
        <w:t>material change</w:t>
      </w:r>
      <w:r>
        <w:t>”</w:t>
      </w:r>
      <w:r w:rsidR="009A51D3">
        <w:t xml:space="preserve"> means a change in the business, operations or capital of the Company that would reasonably be expected to have a significant effect on the market price or value of a security of the Company, or decision to implement such a change made by the Directors or the Company’s senior management who believe that confirmation of the decision by the Directors is probable; and</w:t>
      </w:r>
    </w:p>
    <w:p w14:paraId="5494B782" w14:textId="22F8F55A" w:rsidR="009A51D3" w:rsidRDefault="00E77C0F" w:rsidP="00FF3A9C">
      <w:pPr>
        <w:pStyle w:val="HWLELvl3"/>
        <w:numPr>
          <w:ilvl w:val="3"/>
          <w:numId w:val="19"/>
        </w:numPr>
        <w:jc w:val="both"/>
      </w:pPr>
      <w:r>
        <w:t>“</w:t>
      </w:r>
      <w:r w:rsidR="009A51D3" w:rsidRPr="009A51D3">
        <w:rPr>
          <w:b/>
        </w:rPr>
        <w:t>material fact</w:t>
      </w:r>
      <w:r>
        <w:t>”</w:t>
      </w:r>
      <w:r w:rsidR="009A51D3">
        <w:t xml:space="preserve"> means, when used in relation to a security issued or proposed to be issued, a fact that would reasonably be expected to have a significant effect on the market price or value of the security, and when used in relation to a derivative, a fact that would reasonably be expected to have a significant effect on the market price or value of, or obligations under, the derivative.</w:t>
      </w:r>
    </w:p>
    <w:p w14:paraId="58FE0D0D" w14:textId="054A9E03" w:rsidR="009F55A1" w:rsidRPr="000C1D1E" w:rsidRDefault="009F55A1" w:rsidP="00FF3A9C">
      <w:pPr>
        <w:pStyle w:val="HWLELvl3"/>
        <w:numPr>
          <w:ilvl w:val="2"/>
          <w:numId w:val="19"/>
        </w:numPr>
        <w:jc w:val="both"/>
      </w:pPr>
      <w:r>
        <w:t xml:space="preserve">The examples of possible price-sensitive information set forth in paragraph </w:t>
      </w:r>
      <w:r>
        <w:fldChar w:fldCharType="begin"/>
      </w:r>
      <w:r>
        <w:instrText xml:space="preserve"> REF _Ref53188607 \r \h </w:instrText>
      </w:r>
      <w:r>
        <w:fldChar w:fldCharType="separate"/>
      </w:r>
      <w:r w:rsidR="0099168D">
        <w:t>5.2(e)</w:t>
      </w:r>
      <w:r>
        <w:fldChar w:fldCharType="end"/>
      </w:r>
      <w:r>
        <w:t xml:space="preserve"> above are generally also examples of material facts</w:t>
      </w:r>
      <w:r w:rsidR="00080AFD">
        <w:t xml:space="preserve"> and material changes</w:t>
      </w:r>
      <w:r>
        <w:t>.</w:t>
      </w:r>
    </w:p>
    <w:p w14:paraId="67372413" w14:textId="5C7B13C0" w:rsidR="00F67388" w:rsidRDefault="00F67388" w:rsidP="00FF3A9C">
      <w:pPr>
        <w:pStyle w:val="HWLELvl2"/>
        <w:numPr>
          <w:ilvl w:val="1"/>
          <w:numId w:val="19"/>
        </w:numPr>
        <w:jc w:val="both"/>
      </w:pPr>
      <w:bookmarkStart w:id="91" w:name="d2e5598"/>
      <w:bookmarkStart w:id="92" w:name="d2e5656"/>
      <w:bookmarkEnd w:id="91"/>
      <w:bookmarkEnd w:id="92"/>
      <w:r>
        <w:t>Dealing through third parties</w:t>
      </w:r>
      <w:bookmarkEnd w:id="86"/>
      <w:bookmarkEnd w:id="87"/>
    </w:p>
    <w:p w14:paraId="496FEA08" w14:textId="2162C7D8" w:rsidR="00F67388" w:rsidRPr="00262CCE" w:rsidRDefault="00F67388" w:rsidP="00F67388">
      <w:pPr>
        <w:pStyle w:val="HWLEIndent"/>
        <w:jc w:val="both"/>
      </w:pPr>
      <w:r w:rsidRPr="00262CCE">
        <w:t>Th</w:t>
      </w:r>
      <w:bookmarkStart w:id="93" w:name="_Toc319329149"/>
      <w:r w:rsidRPr="00262CCE">
        <w:t xml:space="preserve">e </w:t>
      </w:r>
      <w:r w:rsidR="009F55A1">
        <w:t>I</w:t>
      </w:r>
      <w:r w:rsidRPr="00262CCE">
        <w:t xml:space="preserve">nsider </w:t>
      </w:r>
      <w:r w:rsidR="009F55A1">
        <w:t>T</w:t>
      </w:r>
      <w:r w:rsidRPr="00262CCE">
        <w:t>rading prohibition</w:t>
      </w:r>
      <w:r w:rsidR="009F55A1">
        <w:t>s</w:t>
      </w:r>
      <w:r w:rsidRPr="00262CCE">
        <w:t xml:space="preserve"> extend to dealings by individuals through nominees, agents or other associates, such as family members, family trusts and family companies.</w:t>
      </w:r>
    </w:p>
    <w:p w14:paraId="65721BC8" w14:textId="22BC788D" w:rsidR="00F67388" w:rsidRDefault="00F67388" w:rsidP="00FF3A9C">
      <w:pPr>
        <w:pStyle w:val="HWLELvl2"/>
        <w:numPr>
          <w:ilvl w:val="1"/>
          <w:numId w:val="19"/>
        </w:numPr>
        <w:jc w:val="both"/>
      </w:pPr>
      <w:bookmarkStart w:id="94" w:name="_Toc383613897"/>
      <w:r>
        <w:t xml:space="preserve">Consequences for breach of </w:t>
      </w:r>
      <w:r w:rsidR="009F55A1">
        <w:t>I</w:t>
      </w:r>
      <w:r>
        <w:t xml:space="preserve">nsider </w:t>
      </w:r>
      <w:r w:rsidR="009F55A1">
        <w:t>T</w:t>
      </w:r>
      <w:r>
        <w:t>rading prohibition</w:t>
      </w:r>
      <w:bookmarkEnd w:id="93"/>
      <w:bookmarkEnd w:id="94"/>
      <w:r w:rsidR="00521CE5">
        <w:t>s</w:t>
      </w:r>
    </w:p>
    <w:p w14:paraId="65A0B08E" w14:textId="244DFAA3" w:rsidR="00F67388" w:rsidRDefault="00F67388" w:rsidP="00FF3A9C">
      <w:pPr>
        <w:pStyle w:val="HWLELvl3"/>
        <w:numPr>
          <w:ilvl w:val="2"/>
          <w:numId w:val="19"/>
        </w:numPr>
        <w:jc w:val="both"/>
      </w:pPr>
      <w:bookmarkStart w:id="95" w:name="_Toc319329150"/>
      <w:r>
        <w:t xml:space="preserve">Breach of the </w:t>
      </w:r>
      <w:r w:rsidR="00080AFD">
        <w:t>I</w:t>
      </w:r>
      <w:r>
        <w:t xml:space="preserve">nsider </w:t>
      </w:r>
      <w:r w:rsidR="00080AFD">
        <w:t>T</w:t>
      </w:r>
      <w:r>
        <w:t xml:space="preserve">rading prohibition by an Employee or </w:t>
      </w:r>
      <w:r w:rsidR="009F55A1">
        <w:t>a Re</w:t>
      </w:r>
      <w:r w:rsidR="009C0E02">
        <w:t>lated</w:t>
      </w:r>
      <w:r w:rsidR="009F55A1">
        <w:t xml:space="preserve"> Person</w:t>
      </w:r>
      <w:r>
        <w:t xml:space="preserve"> could expose the Employee to criminal and civil liability including fines and imprisonment. </w:t>
      </w:r>
    </w:p>
    <w:p w14:paraId="60A21CD0" w14:textId="508D00A3" w:rsidR="00F67388" w:rsidRDefault="00F67388" w:rsidP="00FF3A9C">
      <w:pPr>
        <w:pStyle w:val="HWLELvl3"/>
        <w:numPr>
          <w:ilvl w:val="2"/>
          <w:numId w:val="19"/>
        </w:numPr>
        <w:jc w:val="both"/>
      </w:pPr>
      <w:r>
        <w:t xml:space="preserve">Significantly, a breach of the </w:t>
      </w:r>
      <w:r w:rsidR="009F55A1">
        <w:t>I</w:t>
      </w:r>
      <w:r>
        <w:t xml:space="preserve">nsider </w:t>
      </w:r>
      <w:r w:rsidR="009F55A1">
        <w:t>Tr</w:t>
      </w:r>
      <w:r>
        <w:t>ading prohibition could result in an Employee or a</w:t>
      </w:r>
      <w:r w:rsidR="009F55A1">
        <w:t xml:space="preserve"> Re</w:t>
      </w:r>
      <w:r w:rsidR="009C0E02">
        <w:t>lated</w:t>
      </w:r>
      <w:r w:rsidR="009F55A1">
        <w:t xml:space="preserve"> Person </w:t>
      </w:r>
      <w:r>
        <w:t xml:space="preserve">being sued by another party or the Company for any loss suffered as a result of </w:t>
      </w:r>
      <w:r w:rsidR="009F55A1">
        <w:t>I</w:t>
      </w:r>
      <w:r>
        <w:t xml:space="preserve">nsider </w:t>
      </w:r>
      <w:r w:rsidR="009F55A1">
        <w:t>T</w:t>
      </w:r>
      <w:r>
        <w:t xml:space="preserve">rading. </w:t>
      </w:r>
    </w:p>
    <w:p w14:paraId="4638409D" w14:textId="1A076344" w:rsidR="00F67388" w:rsidRDefault="00F67388" w:rsidP="00FF3A9C">
      <w:pPr>
        <w:pStyle w:val="HWLELvl3"/>
        <w:numPr>
          <w:ilvl w:val="2"/>
          <w:numId w:val="19"/>
        </w:numPr>
        <w:jc w:val="both"/>
      </w:pPr>
      <w:r>
        <w:t>Breach</w:t>
      </w:r>
      <w:r w:rsidR="009F55A1">
        <w:t>es</w:t>
      </w:r>
      <w:r>
        <w:t xml:space="preserve"> of </w:t>
      </w:r>
      <w:r w:rsidR="009F55A1">
        <w:t>I</w:t>
      </w:r>
      <w:r>
        <w:t xml:space="preserve">nsider </w:t>
      </w:r>
      <w:r w:rsidR="009F55A1">
        <w:t>T</w:t>
      </w:r>
      <w:r>
        <w:t>rading laws or this Policy will also be regarded by the Company as serious misconduct which may lead to disciplinary action and/or dismissal</w:t>
      </w:r>
      <w:r w:rsidR="009F55A1">
        <w:t xml:space="preserve"> of an Employee</w:t>
      </w:r>
      <w:r>
        <w:t>.</w:t>
      </w:r>
    </w:p>
    <w:p w14:paraId="771393D5" w14:textId="77777777" w:rsidR="00F67388" w:rsidRPr="00913DCF" w:rsidRDefault="00F67388" w:rsidP="00FF3A9C">
      <w:pPr>
        <w:pStyle w:val="HWLELvl2"/>
        <w:numPr>
          <w:ilvl w:val="1"/>
          <w:numId w:val="19"/>
        </w:numPr>
        <w:jc w:val="both"/>
      </w:pPr>
      <w:bookmarkStart w:id="96" w:name="_Toc383613898"/>
      <w:r w:rsidRPr="00913DCF">
        <w:t>Source of information is irrelevant</w:t>
      </w:r>
      <w:bookmarkEnd w:id="95"/>
      <w:bookmarkEnd w:id="96"/>
      <w:r w:rsidRPr="00913DCF">
        <w:t xml:space="preserve"> </w:t>
      </w:r>
    </w:p>
    <w:p w14:paraId="451B598D" w14:textId="206F1916" w:rsidR="00F67388" w:rsidRDefault="009F55A1" w:rsidP="00FF3A9C">
      <w:pPr>
        <w:pStyle w:val="HWLELvl3"/>
        <w:numPr>
          <w:ilvl w:val="2"/>
          <w:numId w:val="19"/>
        </w:numPr>
        <w:jc w:val="both"/>
      </w:pPr>
      <w:bookmarkStart w:id="97" w:name="_Ref283123621"/>
      <w:bookmarkStart w:id="98" w:name="_Toc283194827"/>
      <w:bookmarkStart w:id="99" w:name="_Toc297626825"/>
      <w:bookmarkStart w:id="100" w:name="_Toc319329151"/>
      <w:r>
        <w:t xml:space="preserve">Insider </w:t>
      </w:r>
      <w:r w:rsidR="00F67388" w:rsidRPr="008C1FB1">
        <w:t xml:space="preserve">Trading is prohibited at any time if the person possesses </w:t>
      </w:r>
      <w:r>
        <w:t>material undisclosed price-sensitive</w:t>
      </w:r>
      <w:r w:rsidR="00F67388" w:rsidRPr="008C1FB1">
        <w:t xml:space="preserve"> information</w:t>
      </w:r>
      <w:r>
        <w:t xml:space="preserve"> or knowledge of material facts or material changes which have not been generally disclosed</w:t>
      </w:r>
      <w:r w:rsidR="00F67388" w:rsidRPr="008C1FB1">
        <w:t xml:space="preserve">. </w:t>
      </w:r>
    </w:p>
    <w:p w14:paraId="454743C6" w14:textId="716FDEAF" w:rsidR="00F67388" w:rsidRDefault="00F67388" w:rsidP="00FF3A9C">
      <w:pPr>
        <w:pStyle w:val="HWLELvl3"/>
        <w:numPr>
          <w:ilvl w:val="2"/>
          <w:numId w:val="19"/>
        </w:numPr>
        <w:jc w:val="both"/>
      </w:pPr>
      <w:r w:rsidRPr="008C1FB1">
        <w:t xml:space="preserve">It does not matter how or where the </w:t>
      </w:r>
      <w:r>
        <w:t xml:space="preserve">person obtains the information </w:t>
      </w:r>
      <w:r w:rsidR="00FE0DAC">
        <w:t xml:space="preserve">or knowledge </w:t>
      </w:r>
      <w:r>
        <w:t>and</w:t>
      </w:r>
      <w:r w:rsidRPr="008C1FB1">
        <w:t xml:space="preserve"> it does not have to be obtained from </w:t>
      </w:r>
      <w:r>
        <w:t xml:space="preserve">the Company </w:t>
      </w:r>
      <w:r w:rsidRPr="008C1FB1">
        <w:t>to constitute inside information.</w:t>
      </w:r>
      <w:r>
        <w:t xml:space="preserve"> </w:t>
      </w:r>
      <w:r w:rsidR="00FE0DAC">
        <w:t>Applicable Laws</w:t>
      </w:r>
      <w:r w:rsidRPr="008C1FB1">
        <w:t xml:space="preserve"> will apply to any </w:t>
      </w:r>
      <w:r>
        <w:t xml:space="preserve">Employee </w:t>
      </w:r>
      <w:r w:rsidRPr="008C1FB1">
        <w:t xml:space="preserve">who acquires </w:t>
      </w:r>
      <w:r w:rsidR="00FE0DAC">
        <w:t>such</w:t>
      </w:r>
      <w:r w:rsidRPr="008C1FB1">
        <w:t xml:space="preserve"> information</w:t>
      </w:r>
      <w:r w:rsidR="00FE0DAC">
        <w:t xml:space="preserve"> o</w:t>
      </w:r>
      <w:r w:rsidR="00521CE5">
        <w:t>r</w:t>
      </w:r>
      <w:r w:rsidR="00FE0DAC">
        <w:t xml:space="preserve"> knowledge</w:t>
      </w:r>
      <w:r w:rsidRPr="008C1FB1">
        <w:t xml:space="preserve"> in relation to</w:t>
      </w:r>
      <w:r>
        <w:t xml:space="preserve"> the Company’s</w:t>
      </w:r>
      <w:r w:rsidRPr="008C1FB1">
        <w:t xml:space="preserve"> </w:t>
      </w:r>
      <w:r w:rsidRPr="00995D75">
        <w:t xml:space="preserve">securities, </w:t>
      </w:r>
      <w:r>
        <w:t>regardless of</w:t>
      </w:r>
      <w:r w:rsidRPr="00995D75">
        <w:t xml:space="preserve"> capacity</w:t>
      </w:r>
      <w:r>
        <w:t>.</w:t>
      </w:r>
    </w:p>
    <w:p w14:paraId="59FFDCB1" w14:textId="77777777" w:rsidR="00F67388" w:rsidRDefault="00F67388" w:rsidP="00FF3A9C">
      <w:pPr>
        <w:pStyle w:val="HWLELvl2"/>
        <w:numPr>
          <w:ilvl w:val="1"/>
          <w:numId w:val="19"/>
        </w:numPr>
        <w:jc w:val="both"/>
      </w:pPr>
      <w:bookmarkStart w:id="101" w:name="_Toc383613899"/>
      <w:r>
        <w:t>Employee incentive scheme</w:t>
      </w:r>
      <w:bookmarkEnd w:id="97"/>
      <w:bookmarkEnd w:id="98"/>
      <w:bookmarkEnd w:id="99"/>
      <w:bookmarkEnd w:id="100"/>
      <w:bookmarkEnd w:id="101"/>
      <w:r>
        <w:t xml:space="preserve"> </w:t>
      </w:r>
    </w:p>
    <w:p w14:paraId="076AEAAA" w14:textId="466788C3" w:rsidR="00F67388" w:rsidRDefault="00F67388" w:rsidP="009E260A">
      <w:pPr>
        <w:pStyle w:val="HWLELvl3"/>
        <w:numPr>
          <w:ilvl w:val="0"/>
          <w:numId w:val="0"/>
        </w:numPr>
        <w:ind w:left="709"/>
        <w:jc w:val="both"/>
      </w:pPr>
      <w:bookmarkStart w:id="102" w:name="_Toc283194841"/>
      <w:bookmarkStart w:id="103" w:name="_Toc297626839"/>
      <w:bookmarkStart w:id="104" w:name="_Toc319329152"/>
      <w:r w:rsidRPr="00995D75">
        <w:t xml:space="preserve">The prohibition </w:t>
      </w:r>
      <w:r>
        <w:t xml:space="preserve">on trading in the Company’s securities </w:t>
      </w:r>
      <w:r w:rsidR="00B23919">
        <w:t>applies</w:t>
      </w:r>
      <w:r w:rsidRPr="00995D75">
        <w:t xml:space="preserve"> to acquisitions of shares or options by </w:t>
      </w:r>
      <w:r>
        <w:t>e</w:t>
      </w:r>
      <w:r w:rsidRPr="00995D75">
        <w:t xml:space="preserve">mployees </w:t>
      </w:r>
      <w:r>
        <w:t xml:space="preserve">of the Company </w:t>
      </w:r>
      <w:r w:rsidRPr="00995D75">
        <w:t>made under</w:t>
      </w:r>
      <w:r>
        <w:t xml:space="preserve"> an</w:t>
      </w:r>
      <w:r w:rsidRPr="00995D75">
        <w:t xml:space="preserve"> employee share or option scheme</w:t>
      </w:r>
      <w:r>
        <w:t xml:space="preserve"> or performance rights plan</w:t>
      </w:r>
      <w:r w:rsidRPr="00995D75">
        <w:t xml:space="preserve">, </w:t>
      </w:r>
      <w:r w:rsidR="009E260A">
        <w:t xml:space="preserve">as well as </w:t>
      </w:r>
      <w:r w:rsidRPr="00995D75">
        <w:t xml:space="preserve">the acquisition of shares as a result of the exercise of options under an employee </w:t>
      </w:r>
      <w:r>
        <w:t>option scheme. T</w:t>
      </w:r>
      <w:r w:rsidRPr="00995D75">
        <w:t xml:space="preserve">he prohibition </w:t>
      </w:r>
      <w:r w:rsidR="009E260A">
        <w:t>also applies</w:t>
      </w:r>
      <w:r w:rsidRPr="00995D75">
        <w:t xml:space="preserve"> to the sale of </w:t>
      </w:r>
      <w:r w:rsidR="009E260A">
        <w:t xml:space="preserve">any such </w:t>
      </w:r>
      <w:r w:rsidR="00F461B0">
        <w:t>securities</w:t>
      </w:r>
      <w:r w:rsidRPr="00995D75">
        <w:t>.</w:t>
      </w:r>
    </w:p>
    <w:p w14:paraId="2BB9233F" w14:textId="77777777" w:rsidR="00F67388" w:rsidRDefault="00F67388" w:rsidP="00FF3A9C">
      <w:pPr>
        <w:pStyle w:val="HWLELvl2"/>
        <w:numPr>
          <w:ilvl w:val="1"/>
          <w:numId w:val="19"/>
        </w:numPr>
        <w:jc w:val="both"/>
      </w:pPr>
      <w:r>
        <w:t>Director fees</w:t>
      </w:r>
    </w:p>
    <w:p w14:paraId="7889F728" w14:textId="77777777" w:rsidR="00F67388" w:rsidRPr="005B0D42" w:rsidRDefault="00F67388" w:rsidP="00F67388">
      <w:pPr>
        <w:pStyle w:val="HWLEIndent"/>
        <w:jc w:val="both"/>
      </w:pPr>
      <w:r>
        <w:t>The prohibition on trading in the Company’s securities does apply to a Director’s election to receive his or her fees in shares or in cash. Accordingly, a Director is prohibited from making such an election during a Closed Period or any other restricted period.</w:t>
      </w:r>
    </w:p>
    <w:p w14:paraId="5FDBC07A" w14:textId="77777777" w:rsidR="00F67388" w:rsidRDefault="00F67388" w:rsidP="00FF3A9C">
      <w:pPr>
        <w:pStyle w:val="HWLELvl2"/>
        <w:numPr>
          <w:ilvl w:val="1"/>
          <w:numId w:val="19"/>
        </w:numPr>
        <w:jc w:val="both"/>
      </w:pPr>
      <w:bookmarkStart w:id="105" w:name="_Toc383613900"/>
      <w:r>
        <w:t>Dealing in shares of other companies</w:t>
      </w:r>
      <w:bookmarkEnd w:id="102"/>
      <w:bookmarkEnd w:id="103"/>
      <w:bookmarkEnd w:id="104"/>
      <w:bookmarkEnd w:id="105"/>
    </w:p>
    <w:p w14:paraId="0C73E768" w14:textId="368A9E85" w:rsidR="00F67388" w:rsidRDefault="00F67388" w:rsidP="00FF3A9C">
      <w:pPr>
        <w:pStyle w:val="HWLELvl3"/>
        <w:numPr>
          <w:ilvl w:val="2"/>
          <w:numId w:val="19"/>
        </w:numPr>
        <w:jc w:val="both"/>
      </w:pPr>
      <w:bookmarkStart w:id="106" w:name="_Toc319329153"/>
      <w:bookmarkStart w:id="107" w:name="_Toc335036877"/>
      <w:r>
        <w:t xml:space="preserve">If an Employee has price-sensitive information </w:t>
      </w:r>
      <w:r w:rsidR="009F55A1">
        <w:t xml:space="preserve">which is </w:t>
      </w:r>
      <w:r w:rsidR="000E4738">
        <w:t xml:space="preserve">not </w:t>
      </w:r>
      <w:r w:rsidR="009F55A1">
        <w:t>generally available, or knowledge of a material fact or material change which has not</w:t>
      </w:r>
      <w:r w:rsidR="00080AFD">
        <w:t xml:space="preserve"> been generally disclosed, </w:t>
      </w:r>
      <w:r>
        <w:t xml:space="preserve">relating to a company other than the Company, the same </w:t>
      </w:r>
      <w:r w:rsidR="009F55A1">
        <w:t>I</w:t>
      </w:r>
      <w:r>
        <w:t xml:space="preserve">nsider </w:t>
      </w:r>
      <w:r w:rsidR="009F55A1">
        <w:t>T</w:t>
      </w:r>
      <w:r>
        <w:t xml:space="preserve">rading rules outlined above apply to </w:t>
      </w:r>
      <w:r w:rsidR="009F55A1">
        <w:t>trading</w:t>
      </w:r>
      <w:r>
        <w:t xml:space="preserve"> securities in that company. </w:t>
      </w:r>
    </w:p>
    <w:p w14:paraId="55814783" w14:textId="3FE6F5DA" w:rsidR="00F67388" w:rsidRDefault="00F67388" w:rsidP="00FF3A9C">
      <w:pPr>
        <w:pStyle w:val="HWLELvl3"/>
        <w:numPr>
          <w:ilvl w:val="2"/>
          <w:numId w:val="19"/>
        </w:numPr>
        <w:jc w:val="both"/>
      </w:pPr>
      <w:r>
        <w:t xml:space="preserve">In the course of performing duties as an employee of the Company, Employees may obtain price-sensitive information </w:t>
      </w:r>
      <w:r w:rsidR="00080AFD">
        <w:t xml:space="preserve">or knowledge of material facts or material changes </w:t>
      </w:r>
      <w:r>
        <w:t>relating to another company in a variety of circumstances. Examples include, but are not limited to the following:</w:t>
      </w:r>
    </w:p>
    <w:p w14:paraId="5BA15869" w14:textId="53FA426B" w:rsidR="00F67388" w:rsidRDefault="00F67388" w:rsidP="00FF3A9C">
      <w:pPr>
        <w:pStyle w:val="HWLELvl4"/>
        <w:numPr>
          <w:ilvl w:val="3"/>
          <w:numId w:val="19"/>
        </w:numPr>
        <w:jc w:val="both"/>
      </w:pPr>
      <w:r>
        <w:t>another company may provide price sensitive information</w:t>
      </w:r>
      <w:r w:rsidR="00080AFD">
        <w:t xml:space="preserve"> or material facts </w:t>
      </w:r>
      <w:r>
        <w:t xml:space="preserve">about itself to the Company in the course of a proposed transaction; </w:t>
      </w:r>
    </w:p>
    <w:p w14:paraId="57C99C98" w14:textId="3DD33057" w:rsidR="00F67388" w:rsidRDefault="00F67388" w:rsidP="00FF3A9C">
      <w:pPr>
        <w:pStyle w:val="HWLELvl4"/>
        <w:numPr>
          <w:ilvl w:val="3"/>
          <w:numId w:val="19"/>
        </w:numPr>
        <w:jc w:val="both"/>
      </w:pPr>
      <w:r>
        <w:t>another company with whom the Company is dealing may provide price sensitive information</w:t>
      </w:r>
      <w:r w:rsidR="00080AFD">
        <w:t xml:space="preserve"> or material facts</w:t>
      </w:r>
      <w:r>
        <w:t xml:space="preserve"> about a third</w:t>
      </w:r>
      <w:r w:rsidR="00080AFD">
        <w:t>-party</w:t>
      </w:r>
      <w:r>
        <w:t xml:space="preserve"> company; or </w:t>
      </w:r>
    </w:p>
    <w:p w14:paraId="6C8954FF" w14:textId="3401B989" w:rsidR="00F67388" w:rsidRDefault="00F67388" w:rsidP="00FF3A9C">
      <w:pPr>
        <w:pStyle w:val="HWLELvl4"/>
        <w:numPr>
          <w:ilvl w:val="3"/>
          <w:numId w:val="19"/>
        </w:numPr>
        <w:jc w:val="both"/>
      </w:pPr>
      <w:r>
        <w:t>information concerning the Company or actions which may be taken by the Company (e.</w:t>
      </w:r>
      <w:r w:rsidR="00080AFD">
        <w:t>g.,</w:t>
      </w:r>
      <w:r>
        <w:t xml:space="preserve"> a planned transaction or strategic change) could reasonably have an effect on a third</w:t>
      </w:r>
      <w:r w:rsidR="00080AFD">
        <w:t>-</w:t>
      </w:r>
      <w:r>
        <w:t>party company.</w:t>
      </w:r>
    </w:p>
    <w:p w14:paraId="6B8EBC69" w14:textId="0CBA6F0D" w:rsidR="00F67388" w:rsidRDefault="00F67388" w:rsidP="00FF3A9C">
      <w:pPr>
        <w:pStyle w:val="HWLELvl3"/>
        <w:numPr>
          <w:ilvl w:val="2"/>
          <w:numId w:val="19"/>
        </w:numPr>
        <w:jc w:val="both"/>
      </w:pPr>
      <w:r>
        <w:t xml:space="preserve">Apart from the application of </w:t>
      </w:r>
      <w:r w:rsidR="00080AFD">
        <w:t>Applicable Laws regarding</w:t>
      </w:r>
      <w:r>
        <w:t xml:space="preserve"> </w:t>
      </w:r>
      <w:r w:rsidR="00080AFD">
        <w:t>I</w:t>
      </w:r>
      <w:r>
        <w:t xml:space="preserve">nsider </w:t>
      </w:r>
      <w:r w:rsidR="00080AFD">
        <w:t>T</w:t>
      </w:r>
      <w:r>
        <w:t>rading to securities in other companies, Employees are also bound by a duty of confidentiality in relation to information in respect of third parties obtained in the course of their employment with the Company.</w:t>
      </w:r>
    </w:p>
    <w:bookmarkEnd w:id="106"/>
    <w:bookmarkEnd w:id="107"/>
    <w:p w14:paraId="5DDEF90F" w14:textId="0D7D1301" w:rsidR="00F67388" w:rsidRDefault="00ED2E48" w:rsidP="00FF3A9C">
      <w:pPr>
        <w:pStyle w:val="HWLELvl1"/>
        <w:numPr>
          <w:ilvl w:val="0"/>
          <w:numId w:val="19"/>
        </w:numPr>
        <w:pBdr>
          <w:between w:val="single" w:sz="8" w:space="1" w:color="898F4B"/>
        </w:pBdr>
        <w:jc w:val="both"/>
      </w:pPr>
      <w:r>
        <w:t>Closed Periods and Restricted Trades</w:t>
      </w:r>
    </w:p>
    <w:p w14:paraId="4E05AA76" w14:textId="77777777" w:rsidR="00F67388" w:rsidRPr="00487CA2" w:rsidRDefault="00F67388" w:rsidP="00FF3A9C">
      <w:pPr>
        <w:pStyle w:val="HWLELvl2"/>
        <w:numPr>
          <w:ilvl w:val="1"/>
          <w:numId w:val="19"/>
        </w:numPr>
        <w:jc w:val="both"/>
      </w:pPr>
      <w:bookmarkStart w:id="108" w:name="_Ref53184541"/>
      <w:r>
        <w:t>Closed Periods</w:t>
      </w:r>
      <w:bookmarkEnd w:id="108"/>
    </w:p>
    <w:p w14:paraId="4A694DEE" w14:textId="0318A686" w:rsidR="00F67388" w:rsidRDefault="00F67388" w:rsidP="00F67388">
      <w:pPr>
        <w:pStyle w:val="HWLEIndent"/>
        <w:jc w:val="both"/>
      </w:pPr>
      <w:bookmarkStart w:id="109" w:name="_Ref349205925"/>
      <w:r>
        <w:t xml:space="preserve">There are certain periods when Employees must not trade in the Company’s securities, given the heightened risk of actual or perceived </w:t>
      </w:r>
      <w:r w:rsidR="00080AFD">
        <w:t>I</w:t>
      </w:r>
      <w:r>
        <w:t xml:space="preserve">nsider </w:t>
      </w:r>
      <w:r w:rsidR="00080AFD">
        <w:t>Tr</w:t>
      </w:r>
      <w:r>
        <w:t xml:space="preserve">ading, which are sometimes referred to as </w:t>
      </w:r>
      <w:r w:rsidR="00E77C0F">
        <w:t>“</w:t>
      </w:r>
      <w:r>
        <w:t>closed periods</w:t>
      </w:r>
      <w:r w:rsidR="00E77C0F">
        <w:t>”</w:t>
      </w:r>
      <w:r>
        <w:t xml:space="preserve"> or </w:t>
      </w:r>
      <w:r w:rsidR="00E77C0F">
        <w:t>“</w:t>
      </w:r>
      <w:r>
        <w:t>black-out periods</w:t>
      </w:r>
      <w:r w:rsidR="00E77C0F">
        <w:t>”</w:t>
      </w:r>
      <w:r>
        <w:t xml:space="preserve"> (</w:t>
      </w:r>
      <w:r>
        <w:rPr>
          <w:b/>
        </w:rPr>
        <w:t>Closed</w:t>
      </w:r>
      <w:r w:rsidRPr="001D4074">
        <w:rPr>
          <w:b/>
        </w:rPr>
        <w:t xml:space="preserve"> Periods</w:t>
      </w:r>
      <w:r>
        <w:t>).</w:t>
      </w:r>
    </w:p>
    <w:p w14:paraId="44DF6DDD" w14:textId="4583CCF9" w:rsidR="00F67388" w:rsidRDefault="00A71744" w:rsidP="00F67388">
      <w:pPr>
        <w:pStyle w:val="HWLEIndent"/>
        <w:keepNext/>
        <w:jc w:val="both"/>
      </w:pPr>
      <w:r>
        <w:t xml:space="preserve">Unless otherwise provided by this Policy, </w:t>
      </w:r>
      <w:r w:rsidR="00F67388">
        <w:t>Employees are prohibited from trades involving the Company’s securities during Closed Periods, which include:</w:t>
      </w:r>
    </w:p>
    <w:p w14:paraId="4A869F49" w14:textId="026CDA3B" w:rsidR="00F67388" w:rsidRDefault="00F67388" w:rsidP="00FF3A9C">
      <w:pPr>
        <w:pStyle w:val="HWLELvl3"/>
        <w:numPr>
          <w:ilvl w:val="2"/>
          <w:numId w:val="19"/>
        </w:numPr>
        <w:jc w:val="both"/>
      </w:pPr>
      <w:r>
        <w:t>when the Employee is in possession of price sensitive information</w:t>
      </w:r>
      <w:r w:rsidR="00080AFD">
        <w:t xml:space="preserve">, or </w:t>
      </w:r>
      <w:r w:rsidR="00355EA0">
        <w:t xml:space="preserve">knowledge of </w:t>
      </w:r>
      <w:r w:rsidR="00080AFD">
        <w:t>material facts or material changes,</w:t>
      </w:r>
      <w:r>
        <w:t xml:space="preserve"> relating to the Company which has not been publicly disclosed;</w:t>
      </w:r>
    </w:p>
    <w:p w14:paraId="299991DB" w14:textId="77777777" w:rsidR="00F67388" w:rsidRPr="00C961A7" w:rsidRDefault="00F67388" w:rsidP="00FF3A9C">
      <w:pPr>
        <w:pStyle w:val="HWLELvl3"/>
        <w:numPr>
          <w:ilvl w:val="2"/>
          <w:numId w:val="19"/>
        </w:numPr>
        <w:jc w:val="both"/>
      </w:pPr>
      <w:r w:rsidRPr="00060A55">
        <w:t>during the period commencing one month prior to the rel</w:t>
      </w:r>
      <w:r w:rsidRPr="00C961A7">
        <w:t xml:space="preserve">ease of the Company’s </w:t>
      </w:r>
      <w:r>
        <w:t>annual</w:t>
      </w:r>
      <w:r w:rsidRPr="00C961A7">
        <w:t xml:space="preserve"> financial results or annual report</w:t>
      </w:r>
      <w:r>
        <w:t>,</w:t>
      </w:r>
      <w:r w:rsidRPr="00C961A7">
        <w:t xml:space="preserve"> and ending one trading day after the </w:t>
      </w:r>
      <w:r>
        <w:t>public disclosure</w:t>
      </w:r>
      <w:r w:rsidRPr="00C961A7">
        <w:t xml:space="preserve"> of those results or reports </w:t>
      </w:r>
      <w:r>
        <w:t>in accordance with Applicable Securities Laws and Applicable Exchange Policies</w:t>
      </w:r>
      <w:r w:rsidRPr="00C961A7">
        <w:t>;</w:t>
      </w:r>
    </w:p>
    <w:p w14:paraId="037D4C57" w14:textId="77777777" w:rsidR="00F67388" w:rsidRDefault="00F67388" w:rsidP="00FF3A9C">
      <w:pPr>
        <w:pStyle w:val="HWLELvl3"/>
        <w:numPr>
          <w:ilvl w:val="2"/>
          <w:numId w:val="19"/>
        </w:numPr>
        <w:jc w:val="both"/>
      </w:pPr>
      <w:r w:rsidRPr="00C961A7">
        <w:t xml:space="preserve">during the period commencing two weeks prior to the release of </w:t>
      </w:r>
      <w:r>
        <w:t xml:space="preserve">the Company’s quarterly financial </w:t>
      </w:r>
      <w:r w:rsidRPr="00C961A7">
        <w:t>results</w:t>
      </w:r>
      <w:r>
        <w:t>,</w:t>
      </w:r>
      <w:r w:rsidRPr="00C961A7">
        <w:t xml:space="preserve"> and ending one trading day after the </w:t>
      </w:r>
      <w:r>
        <w:t>public disclosure of those results or reports in accordance with Applicable Securities Laws and Applicable Exchange Policies; and</w:t>
      </w:r>
    </w:p>
    <w:p w14:paraId="78E6478B" w14:textId="77777777" w:rsidR="00F67388" w:rsidRDefault="00F67388" w:rsidP="00FF3A9C">
      <w:pPr>
        <w:pStyle w:val="HWLELvl3"/>
        <w:numPr>
          <w:ilvl w:val="2"/>
          <w:numId w:val="19"/>
        </w:numPr>
        <w:jc w:val="both"/>
      </w:pPr>
      <w:r>
        <w:t>any other time periods that may be designated by the Company from time to time.</w:t>
      </w:r>
    </w:p>
    <w:p w14:paraId="3553AA90" w14:textId="2B382137" w:rsidR="00F67388" w:rsidRDefault="00F67388" w:rsidP="00FF3A9C">
      <w:pPr>
        <w:pStyle w:val="HWLELvl3"/>
        <w:numPr>
          <w:ilvl w:val="2"/>
          <w:numId w:val="19"/>
        </w:numPr>
        <w:jc w:val="both"/>
      </w:pPr>
      <w:r>
        <w:t>The Closed Period trading prohibition does not limit any other obligations of Employees prescribed by this Policy.</w:t>
      </w:r>
    </w:p>
    <w:p w14:paraId="402C329C" w14:textId="77777777" w:rsidR="00403929" w:rsidRDefault="00403929" w:rsidP="00403929">
      <w:pPr>
        <w:pStyle w:val="HWLELvl2"/>
        <w:numPr>
          <w:ilvl w:val="1"/>
          <w:numId w:val="19"/>
        </w:numPr>
      </w:pPr>
      <w:r>
        <w:t xml:space="preserve">Other restricted periods </w:t>
      </w:r>
    </w:p>
    <w:p w14:paraId="7A9E706C" w14:textId="77777777" w:rsidR="00403929" w:rsidRDefault="00403929" w:rsidP="00403929">
      <w:pPr>
        <w:pStyle w:val="HWLELvl3"/>
        <w:numPr>
          <w:ilvl w:val="2"/>
          <w:numId w:val="19"/>
        </w:numPr>
      </w:pPr>
      <w:r>
        <w:t>Key Management Personnel</w:t>
      </w:r>
    </w:p>
    <w:p w14:paraId="2B4BD2B3" w14:textId="734782CC" w:rsidR="00403929" w:rsidRDefault="00403929" w:rsidP="00403929">
      <w:pPr>
        <w:pStyle w:val="HWLELvl4"/>
        <w:numPr>
          <w:ilvl w:val="3"/>
          <w:numId w:val="19"/>
        </w:numPr>
      </w:pPr>
      <w:r>
        <w:t xml:space="preserve">The Company reserves the right to impose ad hoc restrictions on its Key Management Personnel from trading in its securities in addition to the fixed Closed Periods set out in paragraph </w:t>
      </w:r>
      <w:r>
        <w:fldChar w:fldCharType="begin"/>
      </w:r>
      <w:r>
        <w:instrText xml:space="preserve"> REF _Ref53184541 \r \h </w:instrText>
      </w:r>
      <w:r>
        <w:fldChar w:fldCharType="separate"/>
      </w:r>
      <w:r w:rsidR="0099168D">
        <w:t>6.1</w:t>
      </w:r>
      <w:r>
        <w:fldChar w:fldCharType="end"/>
      </w:r>
      <w:r>
        <w:t xml:space="preserve">. </w:t>
      </w:r>
    </w:p>
    <w:p w14:paraId="16DEF36C" w14:textId="77777777" w:rsidR="00403929" w:rsidRDefault="00403929" w:rsidP="00403929">
      <w:pPr>
        <w:pStyle w:val="HWLELvl4"/>
        <w:numPr>
          <w:ilvl w:val="3"/>
          <w:numId w:val="19"/>
        </w:numPr>
      </w:pPr>
      <w:r>
        <w:t>In determining when ad hoc restrictions should be imposed on its Key Management Personnel, the Company may have regard to any imminent announcements of market sensitive information it is proposing to make under ASX Listing Rule 3.1.</w:t>
      </w:r>
    </w:p>
    <w:p w14:paraId="022D3A46" w14:textId="77777777" w:rsidR="00403929" w:rsidRDefault="00403929" w:rsidP="00403929">
      <w:pPr>
        <w:pStyle w:val="HWLELvl3"/>
        <w:numPr>
          <w:ilvl w:val="2"/>
          <w:numId w:val="19"/>
        </w:numPr>
      </w:pPr>
      <w:r>
        <w:t xml:space="preserve">Other individuals </w:t>
      </w:r>
    </w:p>
    <w:p w14:paraId="1C214036" w14:textId="77777777" w:rsidR="00403929" w:rsidRDefault="00403929" w:rsidP="00403929">
      <w:pPr>
        <w:pStyle w:val="HWLELvl4"/>
        <w:numPr>
          <w:ilvl w:val="3"/>
          <w:numId w:val="19"/>
        </w:numPr>
      </w:pPr>
      <w:r>
        <w:t>In addition to the Key Management Personnel, the Company may also impose ad hoc trading restrictions on:</w:t>
      </w:r>
    </w:p>
    <w:p w14:paraId="42A9149C" w14:textId="77777777" w:rsidR="00403929" w:rsidRDefault="00403929" w:rsidP="00403929">
      <w:pPr>
        <w:pStyle w:val="HWLELvl5"/>
        <w:numPr>
          <w:ilvl w:val="4"/>
          <w:numId w:val="19"/>
        </w:numPr>
      </w:pPr>
      <w:r>
        <w:t>staff who work closely with, or in close proximity to, Key Management Personnel;</w:t>
      </w:r>
    </w:p>
    <w:p w14:paraId="6B888FF8" w14:textId="77777777" w:rsidR="00403929" w:rsidRDefault="00403929" w:rsidP="00403929">
      <w:pPr>
        <w:pStyle w:val="HWLELvl5"/>
        <w:numPr>
          <w:ilvl w:val="4"/>
          <w:numId w:val="19"/>
        </w:numPr>
      </w:pPr>
      <w:r>
        <w:t>staff who work in the finance area or in a strategic planning group;</w:t>
      </w:r>
    </w:p>
    <w:p w14:paraId="7107FB20" w14:textId="77777777" w:rsidR="00403929" w:rsidRDefault="00403929" w:rsidP="00403929">
      <w:pPr>
        <w:pStyle w:val="HWLELvl5"/>
        <w:numPr>
          <w:ilvl w:val="4"/>
          <w:numId w:val="19"/>
        </w:numPr>
      </w:pPr>
      <w:r>
        <w:t>the next layer of management below Key Management Personnel;</w:t>
      </w:r>
    </w:p>
    <w:p w14:paraId="5A39F954" w14:textId="77777777" w:rsidR="00403929" w:rsidRDefault="00403929" w:rsidP="00403929">
      <w:pPr>
        <w:pStyle w:val="HWLELvl5"/>
        <w:numPr>
          <w:ilvl w:val="4"/>
          <w:numId w:val="19"/>
        </w:numPr>
      </w:pPr>
      <w:r>
        <w:t>staff (such as IT staff) who may have access to email or document folders belonging to Key Management Personnel; and</w:t>
      </w:r>
    </w:p>
    <w:p w14:paraId="7D1EEB58" w14:textId="77777777" w:rsidR="00403929" w:rsidRPr="006A31DD" w:rsidRDefault="00403929" w:rsidP="00403929">
      <w:pPr>
        <w:pStyle w:val="HWLELvl5"/>
        <w:numPr>
          <w:ilvl w:val="4"/>
          <w:numId w:val="19"/>
        </w:numPr>
      </w:pPr>
      <w:r>
        <w:t>family members and entities closely connected to Key Management Personnel.</w:t>
      </w:r>
    </w:p>
    <w:p w14:paraId="26379B63" w14:textId="77777777" w:rsidR="00403929" w:rsidRPr="00843574" w:rsidRDefault="00403929" w:rsidP="00403929">
      <w:pPr>
        <w:pStyle w:val="HWLELvl2"/>
        <w:numPr>
          <w:ilvl w:val="1"/>
          <w:numId w:val="19"/>
        </w:numPr>
        <w:rPr>
          <w:b/>
          <w:bCs/>
        </w:rPr>
      </w:pPr>
      <w:r w:rsidRPr="00E27FFB">
        <w:t xml:space="preserve">Further restrictions on trading to </w:t>
      </w:r>
      <w:r>
        <w:t>Employee</w:t>
      </w:r>
      <w:r w:rsidRPr="00E27FFB">
        <w:t>s</w:t>
      </w:r>
    </w:p>
    <w:p w14:paraId="3E50E7BA" w14:textId="77777777" w:rsidR="00403929" w:rsidRDefault="00403929" w:rsidP="00403929">
      <w:pPr>
        <w:pStyle w:val="HWLELvl3"/>
        <w:numPr>
          <w:ilvl w:val="2"/>
          <w:numId w:val="20"/>
        </w:numPr>
      </w:pPr>
      <w:r w:rsidRPr="0097423E">
        <w:t xml:space="preserve">The Company has determined that </w:t>
      </w:r>
      <w:r>
        <w:t>Employee</w:t>
      </w:r>
      <w:r w:rsidRPr="00E27FFB">
        <w:t>s</w:t>
      </w:r>
      <w:r>
        <w:t xml:space="preserve"> </w:t>
      </w:r>
      <w:r w:rsidRPr="00E1713B">
        <w:t>are</w:t>
      </w:r>
      <w:r w:rsidRPr="0097423E">
        <w:t xml:space="preserve"> more likely to be in possession of price</w:t>
      </w:r>
      <w:r>
        <w:t>-</w:t>
      </w:r>
      <w:r w:rsidRPr="0097423E">
        <w:t>sensitive information regarding the Company.</w:t>
      </w:r>
      <w:r>
        <w:t xml:space="preserve"> </w:t>
      </w:r>
      <w:r w:rsidRPr="0097423E">
        <w:t xml:space="preserve">As a result, further restrictions on dealing in the Company's securities apply to </w:t>
      </w:r>
      <w:r>
        <w:t>Employee</w:t>
      </w:r>
      <w:r w:rsidRPr="00AF6DCD">
        <w:t>s</w:t>
      </w:r>
      <w:r w:rsidRPr="0097423E">
        <w:t>.</w:t>
      </w:r>
    </w:p>
    <w:p w14:paraId="40D69E57" w14:textId="77777777" w:rsidR="00403929" w:rsidRDefault="00403929" w:rsidP="00403929">
      <w:pPr>
        <w:pStyle w:val="HWLELvl3"/>
        <w:numPr>
          <w:ilvl w:val="2"/>
          <w:numId w:val="20"/>
        </w:numPr>
      </w:pPr>
      <w:r w:rsidRPr="0097423E">
        <w:t xml:space="preserve">Prior to dealing in the Company's securities, </w:t>
      </w:r>
      <w:r>
        <w:t>Employee</w:t>
      </w:r>
      <w:r w:rsidRPr="00AF6DCD">
        <w:t>s</w:t>
      </w:r>
      <w:r>
        <w:t xml:space="preserve"> </w:t>
      </w:r>
      <w:r w:rsidRPr="0097423E">
        <w:t xml:space="preserve">must first notify the Chair of the proposed type of dealing and the number of securities to be traded and seek the Chair's written consent to </w:t>
      </w:r>
      <w:r>
        <w:t xml:space="preserve">the proposed </w:t>
      </w:r>
      <w:r w:rsidRPr="0097423E">
        <w:t>dealing in the Company's securities.</w:t>
      </w:r>
      <w:r>
        <w:t xml:space="preserve"> </w:t>
      </w:r>
    </w:p>
    <w:p w14:paraId="24869C7B" w14:textId="548165F7" w:rsidR="003A3108" w:rsidRDefault="003A3108" w:rsidP="00FF3A9C">
      <w:pPr>
        <w:pStyle w:val="HWLELvl2"/>
        <w:numPr>
          <w:ilvl w:val="1"/>
          <w:numId w:val="19"/>
        </w:numPr>
        <w:jc w:val="both"/>
      </w:pPr>
      <w:bookmarkStart w:id="110" w:name="_Ref54178445"/>
      <w:r>
        <w:t>Exceptions</w:t>
      </w:r>
      <w:bookmarkEnd w:id="110"/>
    </w:p>
    <w:p w14:paraId="6CC0D4A9" w14:textId="5D5DC035" w:rsidR="003A3108" w:rsidRDefault="001442DC" w:rsidP="003A3108">
      <w:pPr>
        <w:pStyle w:val="HWLELvl3"/>
      </w:pPr>
      <w:bookmarkStart w:id="111" w:name="_Ref54178433"/>
      <w:r>
        <w:t xml:space="preserve">There are no exceptions </w:t>
      </w:r>
      <w:r w:rsidR="006D3BEF">
        <w:t>to the Policy.</w:t>
      </w:r>
      <w:r>
        <w:t xml:space="preserve"> </w:t>
      </w:r>
      <w:bookmarkEnd w:id="111"/>
    </w:p>
    <w:p w14:paraId="79583F9B" w14:textId="77777777" w:rsidR="00F67388" w:rsidRPr="00E950DE" w:rsidRDefault="00F67388" w:rsidP="00FF3A9C">
      <w:pPr>
        <w:pStyle w:val="HWLELvl2"/>
        <w:numPr>
          <w:ilvl w:val="1"/>
          <w:numId w:val="19"/>
        </w:numPr>
        <w:jc w:val="both"/>
      </w:pPr>
      <w:bookmarkStart w:id="112" w:name="_Toc319329157"/>
      <w:bookmarkStart w:id="113" w:name="_Toc383613907"/>
      <w:bookmarkStart w:id="114" w:name="_Ref283124328"/>
      <w:bookmarkEnd w:id="109"/>
      <w:r w:rsidRPr="00E950DE">
        <w:t xml:space="preserve">Notification of </w:t>
      </w:r>
      <w:r>
        <w:t>Closed P</w:t>
      </w:r>
      <w:r w:rsidRPr="00E950DE">
        <w:t>eriods</w:t>
      </w:r>
      <w:bookmarkEnd w:id="112"/>
      <w:bookmarkEnd w:id="113"/>
    </w:p>
    <w:p w14:paraId="498D2707" w14:textId="097AAD06" w:rsidR="00F67388" w:rsidRDefault="00F67388" w:rsidP="00F67388">
      <w:pPr>
        <w:pStyle w:val="HWLEIndent"/>
        <w:jc w:val="both"/>
      </w:pPr>
      <w:bookmarkStart w:id="115" w:name="_Ref283124649"/>
      <w:bookmarkStart w:id="116" w:name="_Toc283194833"/>
      <w:bookmarkStart w:id="117" w:name="_Toc297626831"/>
      <w:bookmarkStart w:id="118" w:name="_Toc319329158"/>
      <w:bookmarkEnd w:id="114"/>
      <w:r w:rsidRPr="00487CA2">
        <w:t xml:space="preserve">The </w:t>
      </w:r>
      <w:r w:rsidR="00080AFD">
        <w:t xml:space="preserve">Company </w:t>
      </w:r>
      <w:r w:rsidRPr="00487CA2">
        <w:t xml:space="preserve">Secretary will endeavour to notify </w:t>
      </w:r>
      <w:r>
        <w:t xml:space="preserve">Employees </w:t>
      </w:r>
      <w:r w:rsidRPr="00487CA2">
        <w:t xml:space="preserve">of </w:t>
      </w:r>
      <w:r>
        <w:t>all Closed Periods</w:t>
      </w:r>
      <w:r w:rsidRPr="00487CA2">
        <w:t>.</w:t>
      </w:r>
      <w:r>
        <w:t xml:space="preserve"> Even when such notification is not provided, </w:t>
      </w:r>
      <w:r w:rsidR="00240D8D">
        <w:t xml:space="preserve">however, </w:t>
      </w:r>
      <w:r>
        <w:t xml:space="preserve">Closed Periods </w:t>
      </w:r>
      <w:r w:rsidR="00080AFD">
        <w:t>will apply</w:t>
      </w:r>
      <w:r>
        <w:t xml:space="preserve"> as set out in this Policy.</w:t>
      </w:r>
      <w:bookmarkStart w:id="119" w:name="_Ref283123061"/>
      <w:bookmarkStart w:id="120" w:name="_Toc283194834"/>
      <w:bookmarkStart w:id="121" w:name="_Toc297626832"/>
      <w:bookmarkStart w:id="122" w:name="_Toc319329159"/>
      <w:bookmarkEnd w:id="115"/>
      <w:bookmarkEnd w:id="116"/>
      <w:bookmarkEnd w:id="117"/>
      <w:bookmarkEnd w:id="118"/>
    </w:p>
    <w:p w14:paraId="471F0BFD" w14:textId="77777777" w:rsidR="00F67388" w:rsidRPr="009A1313" w:rsidRDefault="00F67388" w:rsidP="00FF3A9C">
      <w:pPr>
        <w:pStyle w:val="HWLELvl2"/>
        <w:numPr>
          <w:ilvl w:val="1"/>
          <w:numId w:val="19"/>
        </w:numPr>
        <w:jc w:val="both"/>
      </w:pPr>
      <w:bookmarkStart w:id="123" w:name="_Ref383609947"/>
      <w:bookmarkStart w:id="124" w:name="_Ref383610024"/>
      <w:bookmarkStart w:id="125" w:name="_Toc383613909"/>
      <w:r>
        <w:t>C</w:t>
      </w:r>
      <w:r w:rsidRPr="009A1313">
        <w:t>onsent to trade</w:t>
      </w:r>
      <w:bookmarkEnd w:id="119"/>
      <w:bookmarkEnd w:id="120"/>
      <w:bookmarkEnd w:id="121"/>
      <w:bookmarkEnd w:id="122"/>
      <w:bookmarkEnd w:id="123"/>
      <w:bookmarkEnd w:id="124"/>
      <w:bookmarkEnd w:id="125"/>
      <w:r>
        <w:t xml:space="preserve"> during Closed Periods</w:t>
      </w:r>
    </w:p>
    <w:p w14:paraId="0D1BB797" w14:textId="1C41C740" w:rsidR="00F67388" w:rsidRDefault="00F67388" w:rsidP="00FF3A9C">
      <w:pPr>
        <w:pStyle w:val="HWLELvl3"/>
        <w:numPr>
          <w:ilvl w:val="2"/>
          <w:numId w:val="19"/>
        </w:numPr>
        <w:jc w:val="both"/>
      </w:pPr>
      <w:bookmarkStart w:id="126" w:name="_Toc319329160"/>
      <w:r>
        <w:t xml:space="preserve">An Employee may trade in the Company’s securities during a Closed Period if that person obtains written consent to do so in accordance with this paragraph </w:t>
      </w:r>
      <w:r>
        <w:rPr>
          <w:highlight w:val="yellow"/>
        </w:rPr>
        <w:fldChar w:fldCharType="begin"/>
      </w:r>
      <w:r>
        <w:instrText xml:space="preserve"> REF _Ref383609947 \r \h </w:instrText>
      </w:r>
      <w:r>
        <w:rPr>
          <w:highlight w:val="yellow"/>
        </w:rPr>
        <w:instrText xml:space="preserve"> \* MERGEFORMAT </w:instrText>
      </w:r>
      <w:r>
        <w:rPr>
          <w:highlight w:val="yellow"/>
        </w:rPr>
      </w:r>
      <w:r>
        <w:rPr>
          <w:highlight w:val="yellow"/>
        </w:rPr>
        <w:fldChar w:fldCharType="separate"/>
      </w:r>
      <w:r w:rsidR="0099168D">
        <w:t>6.6</w:t>
      </w:r>
      <w:r>
        <w:rPr>
          <w:highlight w:val="yellow"/>
        </w:rPr>
        <w:fldChar w:fldCharType="end"/>
      </w:r>
      <w:r>
        <w:t>.</w:t>
      </w:r>
    </w:p>
    <w:p w14:paraId="7B5EC4B0" w14:textId="77777777" w:rsidR="00F67388" w:rsidRDefault="00F67388" w:rsidP="00FF3A9C">
      <w:pPr>
        <w:pStyle w:val="HWLELvl3"/>
        <w:numPr>
          <w:ilvl w:val="2"/>
          <w:numId w:val="19"/>
        </w:numPr>
        <w:jc w:val="both"/>
      </w:pPr>
      <w:r>
        <w:t xml:space="preserve">An Employee who wishes to trade in the Company’s securities </w:t>
      </w:r>
      <w:r w:rsidRPr="00E27FFB">
        <w:t>at any time</w:t>
      </w:r>
      <w:r>
        <w:t xml:space="preserve"> (</w:t>
      </w:r>
      <w:r w:rsidRPr="00C93BD0">
        <w:rPr>
          <w:b/>
        </w:rPr>
        <w:t>Applicant</w:t>
      </w:r>
      <w:r>
        <w:t xml:space="preserve">) must obtain the prior written consent (which may be provided by way of an email) of: </w:t>
      </w:r>
    </w:p>
    <w:p w14:paraId="7DAC93E9" w14:textId="77777777" w:rsidR="00F67388" w:rsidRDefault="00F67388" w:rsidP="00FF3A9C">
      <w:pPr>
        <w:pStyle w:val="HWLELvl4"/>
        <w:numPr>
          <w:ilvl w:val="3"/>
          <w:numId w:val="19"/>
        </w:numPr>
        <w:jc w:val="both"/>
      </w:pPr>
      <w:r>
        <w:t>the Chair; or</w:t>
      </w:r>
    </w:p>
    <w:p w14:paraId="60B35B23" w14:textId="7B3C658A" w:rsidR="00F67388" w:rsidRDefault="00F67388" w:rsidP="00FF3A9C">
      <w:pPr>
        <w:pStyle w:val="HWLELvl4"/>
        <w:numPr>
          <w:ilvl w:val="3"/>
          <w:numId w:val="19"/>
        </w:numPr>
        <w:jc w:val="both"/>
      </w:pPr>
      <w:r>
        <w:t xml:space="preserve">where the Chair is the Applicant, the chair of the </w:t>
      </w:r>
      <w:r w:rsidR="001F7087">
        <w:t xml:space="preserve">Company’s </w:t>
      </w:r>
      <w:r>
        <w:t>Audit and Risk Committee,</w:t>
      </w:r>
    </w:p>
    <w:p w14:paraId="5BBC338B" w14:textId="77777777" w:rsidR="00F67388" w:rsidRDefault="00F67388" w:rsidP="00F67388">
      <w:pPr>
        <w:pStyle w:val="LDStandardIndent"/>
        <w:ind w:left="1417"/>
      </w:pPr>
      <w:r>
        <w:t xml:space="preserve">(collectively, the </w:t>
      </w:r>
      <w:r w:rsidRPr="00981896">
        <w:rPr>
          <w:b/>
        </w:rPr>
        <w:t>Decision</w:t>
      </w:r>
      <w:r>
        <w:t xml:space="preserve"> </w:t>
      </w:r>
      <w:r>
        <w:rPr>
          <w:b/>
        </w:rPr>
        <w:t>Maker(</w:t>
      </w:r>
      <w:r w:rsidRPr="00981896">
        <w:rPr>
          <w:b/>
        </w:rPr>
        <w:t>s</w:t>
      </w:r>
      <w:r>
        <w:rPr>
          <w:b/>
        </w:rPr>
        <w:t>)</w:t>
      </w:r>
      <w:r>
        <w:t>).</w:t>
      </w:r>
    </w:p>
    <w:p w14:paraId="7AB79FDE" w14:textId="374C3BA4" w:rsidR="00F67388" w:rsidRDefault="00F67388" w:rsidP="00FF3A9C">
      <w:pPr>
        <w:pStyle w:val="HWLELvl3"/>
        <w:keepNext/>
        <w:numPr>
          <w:ilvl w:val="2"/>
          <w:numId w:val="19"/>
        </w:numPr>
        <w:jc w:val="both"/>
      </w:pPr>
      <w:r>
        <w:t>The Decision Maker(s) may only provide written permission to trade in</w:t>
      </w:r>
      <w:r w:rsidRPr="00D936BB">
        <w:t xml:space="preserve"> </w:t>
      </w:r>
      <w:r>
        <w:t xml:space="preserve">the Company’s securities where the Decision Maker(s) is satisfied that the trade </w:t>
      </w:r>
      <w:r w:rsidR="00240D8D">
        <w:t>complies with</w:t>
      </w:r>
      <w:r>
        <w:t xml:space="preserve"> all Applicable </w:t>
      </w:r>
      <w:r w:rsidR="00080AFD">
        <w:t>Laws</w:t>
      </w:r>
      <w:r>
        <w:t xml:space="preserve"> and Company policies.</w:t>
      </w:r>
    </w:p>
    <w:p w14:paraId="662156AA" w14:textId="7D5A295F" w:rsidR="00F67388" w:rsidRDefault="00F67388" w:rsidP="00FF3A9C">
      <w:pPr>
        <w:pStyle w:val="HWLELvl3"/>
        <w:numPr>
          <w:ilvl w:val="2"/>
          <w:numId w:val="19"/>
        </w:numPr>
        <w:jc w:val="both"/>
      </w:pPr>
      <w:r>
        <w:t xml:space="preserve">Any permission provided under this paragraph </w:t>
      </w:r>
      <w:r>
        <w:fldChar w:fldCharType="begin"/>
      </w:r>
      <w:r>
        <w:instrText xml:space="preserve"> REF _Ref383610024 \r \h  \* MERGEFORMAT </w:instrText>
      </w:r>
      <w:r>
        <w:fldChar w:fldCharType="separate"/>
      </w:r>
      <w:r w:rsidR="0099168D">
        <w:t>6.6</w:t>
      </w:r>
      <w:r>
        <w:fldChar w:fldCharType="end"/>
      </w:r>
      <w:r>
        <w:t xml:space="preserve"> must be obtained by the Applicant not less than two trading days before the proposed trade (or such shorter period as the Decision Maker(s) may determine).</w:t>
      </w:r>
    </w:p>
    <w:p w14:paraId="2806AC93" w14:textId="77777777" w:rsidR="00F67388" w:rsidRDefault="00F67388" w:rsidP="00FF3A9C">
      <w:pPr>
        <w:pStyle w:val="HWLELvl3"/>
        <w:numPr>
          <w:ilvl w:val="2"/>
          <w:numId w:val="19"/>
        </w:numPr>
        <w:jc w:val="both"/>
      </w:pPr>
      <w:r>
        <w:t xml:space="preserve">Any pre-clearance request that has been granted will only be valid for two business days following the approval date, unless earlier terminated by the Decision Maker(s). If a trade for which pre-clearance has been granted is not effected within such period, the trade must be pre-cleared again. </w:t>
      </w:r>
    </w:p>
    <w:p w14:paraId="23173DB3" w14:textId="51783D4C" w:rsidR="00F67388" w:rsidRDefault="00F67388" w:rsidP="00FF3A9C">
      <w:pPr>
        <w:pStyle w:val="HWLELvl3"/>
        <w:numPr>
          <w:ilvl w:val="2"/>
          <w:numId w:val="19"/>
        </w:numPr>
        <w:jc w:val="both"/>
      </w:pPr>
      <w:r w:rsidRPr="00FE0E5E">
        <w:t xml:space="preserve">To the extent that a material </w:t>
      </w:r>
      <w:r w:rsidR="00C67A20">
        <w:t>fact or material change</w:t>
      </w:r>
      <w:r w:rsidRPr="00FE0E5E">
        <w:t xml:space="preserve"> affecting the Company remains non-public, persons subject to the pre-clearance requirement will not be given permission to </w:t>
      </w:r>
      <w:r w:rsidR="00C67A20">
        <w:t>trade</w:t>
      </w:r>
      <w:r w:rsidRPr="00FE0E5E">
        <w:t xml:space="preserve"> securities of the Company. Such persons may not be informed of the reason they may not trade. Any person that is made aware of the reason for an event-specific prohibition on trading shall not disclose the reason for the prohibition to third parties and should avoid disclosing the existence of the prohibition.</w:t>
      </w:r>
      <w:r w:rsidRPr="0097423E">
        <w:t xml:space="preserve"> </w:t>
      </w:r>
    </w:p>
    <w:p w14:paraId="4DA6BBA4" w14:textId="75121DB6" w:rsidR="00F67388" w:rsidRDefault="00F67388" w:rsidP="00FF3A9C">
      <w:pPr>
        <w:pStyle w:val="HWLELvl3"/>
        <w:numPr>
          <w:ilvl w:val="2"/>
          <w:numId w:val="19"/>
        </w:numPr>
        <w:jc w:val="both"/>
      </w:pPr>
      <w:r>
        <w:t xml:space="preserve">Copies of written approvals of the Decision Maker(s) must be forwarded to the </w:t>
      </w:r>
      <w:r w:rsidR="00080AFD">
        <w:t xml:space="preserve">Company </w:t>
      </w:r>
      <w:r>
        <w:t>Secretary prior to the approved trade.</w:t>
      </w:r>
    </w:p>
    <w:p w14:paraId="10796496" w14:textId="77777777" w:rsidR="00F67388" w:rsidRDefault="00F67388" w:rsidP="00FF3A9C">
      <w:pPr>
        <w:pStyle w:val="HWLELvl3"/>
        <w:numPr>
          <w:ilvl w:val="2"/>
          <w:numId w:val="19"/>
        </w:numPr>
        <w:jc w:val="both"/>
      </w:pPr>
      <w:r>
        <w:t>A clearance to trade can be given or refused by the Company in its absolute discretion. The Company’s decision to refuse clearance is final and binding on the person seeking clearance.</w:t>
      </w:r>
    </w:p>
    <w:p w14:paraId="1C149873" w14:textId="77777777" w:rsidR="00F67388" w:rsidRDefault="00F67388" w:rsidP="00FF3A9C">
      <w:pPr>
        <w:pStyle w:val="HWLELvl3"/>
        <w:numPr>
          <w:ilvl w:val="2"/>
          <w:numId w:val="19"/>
        </w:numPr>
        <w:jc w:val="both"/>
      </w:pPr>
      <w:r>
        <w:t>A clearance to trade can be withdrawn if new information comes to light or there is a change in circumstances.</w:t>
      </w:r>
    </w:p>
    <w:p w14:paraId="5D2931F7" w14:textId="0CD46B3F" w:rsidR="00F67388" w:rsidRDefault="00F67388" w:rsidP="00FF3A9C">
      <w:pPr>
        <w:pStyle w:val="HWLELvl3"/>
        <w:numPr>
          <w:ilvl w:val="2"/>
          <w:numId w:val="19"/>
        </w:numPr>
        <w:jc w:val="both"/>
      </w:pPr>
      <w:r>
        <w:t>If clearance to trade is refused, the person seeking the clearance must keep the information relating to the refusal (including the refusal itself) confidential and not disclose it to anyone.</w:t>
      </w:r>
    </w:p>
    <w:p w14:paraId="27F5FB7C" w14:textId="1E8C864D" w:rsidR="00C67A20" w:rsidRPr="00E950DE" w:rsidRDefault="00C67A20" w:rsidP="00FF3A9C">
      <w:pPr>
        <w:pStyle w:val="HWLELvl3"/>
        <w:numPr>
          <w:ilvl w:val="2"/>
          <w:numId w:val="19"/>
        </w:numPr>
        <w:jc w:val="both"/>
      </w:pPr>
      <w:r w:rsidRPr="00E950DE">
        <w:t xml:space="preserve">Exceptional circumstances may apply to the disposal of </w:t>
      </w:r>
      <w:r>
        <w:t>the Company’s</w:t>
      </w:r>
      <w:r w:rsidRPr="00E950DE">
        <w:t xml:space="preserve"> securities by a</w:t>
      </w:r>
      <w:r w:rsidR="009C0E02">
        <w:t>n Employee or a</w:t>
      </w:r>
      <w:r>
        <w:t xml:space="preserve"> Restricted Person</w:t>
      </w:r>
      <w:r w:rsidRPr="00E950DE">
        <w:t xml:space="preserve"> if </w:t>
      </w:r>
      <w:r w:rsidR="009C0E02">
        <w:t>such p</w:t>
      </w:r>
      <w:r>
        <w:t>erson</w:t>
      </w:r>
      <w:r w:rsidRPr="00E950DE">
        <w:t xml:space="preserve"> is required by a court order</w:t>
      </w:r>
      <w:r>
        <w:t xml:space="preserve"> or</w:t>
      </w:r>
      <w:r w:rsidRPr="00E950DE">
        <w:t xml:space="preserve"> a court enforceable undertaking </w:t>
      </w:r>
      <w:r>
        <w:t>(</w:t>
      </w:r>
      <w:r w:rsidRPr="00E950DE">
        <w:t xml:space="preserve">for example in a bona fide family settlement, to transfer or sell securities of </w:t>
      </w:r>
      <w:r>
        <w:t>the Company),</w:t>
      </w:r>
      <w:r w:rsidRPr="00E950DE">
        <w:t xml:space="preserve"> or </w:t>
      </w:r>
      <w:r>
        <w:t xml:space="preserve">if </w:t>
      </w:r>
      <w:r w:rsidRPr="00E950DE">
        <w:t>there is some other overriding legal or regulatory requirement to do so.</w:t>
      </w:r>
      <w:r>
        <w:t xml:space="preserve"> </w:t>
      </w:r>
      <w:r w:rsidRPr="00E950DE">
        <w:t>Any application for an exemption allowing</w:t>
      </w:r>
      <w:r>
        <w:t xml:space="preserve"> a trade</w:t>
      </w:r>
      <w:r w:rsidRPr="00E950DE">
        <w:t xml:space="preserve"> of </w:t>
      </w:r>
      <w:r>
        <w:t>the Company’s</w:t>
      </w:r>
      <w:r w:rsidRPr="00E950DE">
        <w:t xml:space="preserve"> securities during a </w:t>
      </w:r>
      <w:r>
        <w:t xml:space="preserve">Closed </w:t>
      </w:r>
      <w:r w:rsidRPr="00E950DE">
        <w:t>Period based on exceptional circumstances must be made in writing and be accompanied by relevant court and/or supporting legal documentation.</w:t>
      </w:r>
      <w:r>
        <w:t xml:space="preserve"> </w:t>
      </w:r>
      <w:r w:rsidRPr="00E950DE">
        <w:t xml:space="preserve">Any exemption, if issued, will be in writing and </w:t>
      </w:r>
      <w:r>
        <w:t>wi</w:t>
      </w:r>
      <w:r w:rsidRPr="00E950DE">
        <w:t>ll contain a specified time period during which the sale of securities can be made.</w:t>
      </w:r>
    </w:p>
    <w:p w14:paraId="106EC7CB" w14:textId="77777777" w:rsidR="00F67388" w:rsidRPr="00E950DE" w:rsidRDefault="00F67388" w:rsidP="00FF3A9C">
      <w:pPr>
        <w:pStyle w:val="HWLELvl2"/>
        <w:numPr>
          <w:ilvl w:val="1"/>
          <w:numId w:val="19"/>
        </w:numPr>
        <w:jc w:val="both"/>
      </w:pPr>
      <w:bookmarkStart w:id="127" w:name="_Toc383613910"/>
      <w:r>
        <w:t>S</w:t>
      </w:r>
      <w:r w:rsidRPr="00E950DE">
        <w:t>ales of securities</w:t>
      </w:r>
      <w:bookmarkEnd w:id="126"/>
      <w:bookmarkEnd w:id="127"/>
      <w:r w:rsidRPr="00E950DE">
        <w:t xml:space="preserve"> </w:t>
      </w:r>
    </w:p>
    <w:p w14:paraId="04F38247" w14:textId="3E8EB22D" w:rsidR="00F67388" w:rsidRDefault="00F67388" w:rsidP="00F67388">
      <w:pPr>
        <w:pStyle w:val="HWLEIndent"/>
        <w:jc w:val="both"/>
      </w:pPr>
      <w:bookmarkStart w:id="128" w:name="_Toc283194842"/>
      <w:bookmarkStart w:id="129" w:name="_Toc297626840"/>
      <w:bookmarkStart w:id="130" w:name="_Toc319329161"/>
      <w:bookmarkStart w:id="131" w:name="_Toc335036878"/>
      <w:r>
        <w:t>Employees</w:t>
      </w:r>
      <w:r w:rsidRPr="009528F2">
        <w:t xml:space="preserve"> need to be mindful of the market perception associated with any </w:t>
      </w:r>
      <w:r>
        <w:t>trade</w:t>
      </w:r>
      <w:r w:rsidRPr="009528F2">
        <w:t xml:space="preserve"> of </w:t>
      </w:r>
      <w:r>
        <w:t>the Company’s</w:t>
      </w:r>
      <w:r w:rsidRPr="009528F2">
        <w:t xml:space="preserve"> securities and possibly the ability of the market to absorb the volume of s</w:t>
      </w:r>
      <w:r>
        <w:t>ecurities</w:t>
      </w:r>
      <w:r w:rsidRPr="009528F2">
        <w:t xml:space="preserve"> being </w:t>
      </w:r>
      <w:r>
        <w:t>traded</w:t>
      </w:r>
      <w:r w:rsidRPr="009528F2">
        <w:t>.</w:t>
      </w:r>
      <w:r>
        <w:t xml:space="preserve"> </w:t>
      </w:r>
      <w:r w:rsidRPr="009528F2">
        <w:t xml:space="preserve">With this in mind, the management of the </w:t>
      </w:r>
      <w:r>
        <w:t>trade</w:t>
      </w:r>
      <w:r w:rsidRPr="009528F2">
        <w:t xml:space="preserve"> of any significant volume of </w:t>
      </w:r>
      <w:r>
        <w:t>the Company’s</w:t>
      </w:r>
      <w:r w:rsidRPr="009528F2">
        <w:t xml:space="preserve"> securities (i.e.</w:t>
      </w:r>
      <w:r>
        <w:t>,</w:t>
      </w:r>
      <w:r w:rsidRPr="009528F2">
        <w:t xml:space="preserve"> a volume that would represent a volume in excess of 10% of the total securities held by the seller prior to the </w:t>
      </w:r>
      <w:r>
        <w:t>trade</w:t>
      </w:r>
      <w:r w:rsidRPr="009528F2">
        <w:t xml:space="preserve">, or a volume to be sold that would be in excess of 10% of the average daily traded volume of the shares of </w:t>
      </w:r>
      <w:r>
        <w:t>the Company</w:t>
      </w:r>
      <w:r w:rsidRPr="009528F2">
        <w:t xml:space="preserve"> on the ASX </w:t>
      </w:r>
      <w:r>
        <w:t xml:space="preserve">or the TSX-V </w:t>
      </w:r>
      <w:r w:rsidRPr="009528F2">
        <w:t>for the preceding 20 trading days) by a</w:t>
      </w:r>
      <w:r>
        <w:t>n</w:t>
      </w:r>
      <w:r w:rsidRPr="009528F2">
        <w:t xml:space="preserve"> </w:t>
      </w:r>
      <w:r>
        <w:t>Employee</w:t>
      </w:r>
      <w:r w:rsidRPr="009528F2">
        <w:t xml:space="preserve"> </w:t>
      </w:r>
      <w:r>
        <w:t>must</w:t>
      </w:r>
      <w:r w:rsidRPr="009528F2">
        <w:t xml:space="preserve"> b</w:t>
      </w:r>
      <w:r>
        <w:t xml:space="preserve">e discussed with the Board </w:t>
      </w:r>
      <w:r w:rsidRPr="009528F2">
        <w:t xml:space="preserve">prior to the execution of any </w:t>
      </w:r>
      <w:r>
        <w:t>trade</w:t>
      </w:r>
      <w:r w:rsidRPr="009528F2">
        <w:t>.</w:t>
      </w:r>
      <w:r>
        <w:t xml:space="preserve"> </w:t>
      </w:r>
      <w:r w:rsidRPr="009528F2">
        <w:t xml:space="preserve">These discussions </w:t>
      </w:r>
      <w:r>
        <w:t>must</w:t>
      </w:r>
      <w:r w:rsidRPr="009528F2">
        <w:t xml:space="preserve"> be documented in the form of a file note, to be retained by the </w:t>
      </w:r>
      <w:r w:rsidR="00080AFD">
        <w:t xml:space="preserve">Company </w:t>
      </w:r>
      <w:r w:rsidRPr="009528F2">
        <w:t>Secretary.</w:t>
      </w:r>
    </w:p>
    <w:p w14:paraId="187373EA" w14:textId="77777777" w:rsidR="00ED2E48" w:rsidRDefault="00ED2E48" w:rsidP="00FF3A9C">
      <w:pPr>
        <w:pStyle w:val="HWLELvl2"/>
        <w:numPr>
          <w:ilvl w:val="1"/>
          <w:numId w:val="19"/>
        </w:numPr>
        <w:jc w:val="both"/>
      </w:pPr>
      <w:bookmarkStart w:id="132" w:name="_Ref283123085"/>
      <w:bookmarkStart w:id="133" w:name="_Toc283194826"/>
      <w:bookmarkStart w:id="134" w:name="_Toc297626824"/>
      <w:bookmarkStart w:id="135" w:name="_Toc319329155"/>
      <w:r>
        <w:t>Restricted Trades</w:t>
      </w:r>
    </w:p>
    <w:p w14:paraId="20328EB5" w14:textId="77777777" w:rsidR="00ED2E48" w:rsidRDefault="00ED2E48" w:rsidP="00080AFD">
      <w:pPr>
        <w:pStyle w:val="HWLELvl3"/>
        <w:numPr>
          <w:ilvl w:val="0"/>
          <w:numId w:val="0"/>
        </w:numPr>
        <w:ind w:left="709"/>
        <w:jc w:val="both"/>
      </w:pPr>
      <w:r>
        <w:t>Despite any other provision of this Policy:</w:t>
      </w:r>
    </w:p>
    <w:p w14:paraId="4E998028" w14:textId="77777777" w:rsidR="00ED2E48" w:rsidRDefault="00ED2E48" w:rsidP="00FF3A9C">
      <w:pPr>
        <w:pStyle w:val="HWLELvl3"/>
        <w:numPr>
          <w:ilvl w:val="2"/>
          <w:numId w:val="19"/>
        </w:numPr>
        <w:jc w:val="both"/>
      </w:pPr>
      <w:r>
        <w:t>Employee</w:t>
      </w:r>
      <w:r w:rsidRPr="004F69D4">
        <w:t xml:space="preserve">s must not </w:t>
      </w:r>
      <w:r>
        <w:t>trade in any derivative products or convertible securities issued by the Company, including warrants, options, or convertible debt;</w:t>
      </w:r>
    </w:p>
    <w:bookmarkEnd w:id="132"/>
    <w:bookmarkEnd w:id="133"/>
    <w:bookmarkEnd w:id="134"/>
    <w:bookmarkEnd w:id="135"/>
    <w:p w14:paraId="71D66687" w14:textId="77777777" w:rsidR="00ED2E48" w:rsidRDefault="00ED2E48" w:rsidP="00FF3A9C">
      <w:pPr>
        <w:pStyle w:val="HWLELvl3"/>
        <w:numPr>
          <w:ilvl w:val="2"/>
          <w:numId w:val="19"/>
        </w:numPr>
        <w:jc w:val="both"/>
      </w:pPr>
      <w:r>
        <w:t>Employees</w:t>
      </w:r>
      <w:r w:rsidRPr="0066394B">
        <w:t xml:space="preserve"> </w:t>
      </w:r>
      <w:r>
        <w:t>must not engage in short-term trading of any of the Company’s securities (e.g., purchasing the Company’s shares with an intention to sell them within a 12-month period);</w:t>
      </w:r>
    </w:p>
    <w:p w14:paraId="49284DBE" w14:textId="77777777" w:rsidR="00ED2E48" w:rsidRDefault="00ED2E48" w:rsidP="00FF3A9C">
      <w:pPr>
        <w:pStyle w:val="HWLELvl3"/>
        <w:numPr>
          <w:ilvl w:val="2"/>
          <w:numId w:val="19"/>
        </w:numPr>
        <w:jc w:val="both"/>
      </w:pPr>
      <w:r>
        <w:t xml:space="preserve">Employees must not engage in short selling of the Company’s securities; </w:t>
      </w:r>
    </w:p>
    <w:p w14:paraId="2A3B3FE0" w14:textId="28AE7538" w:rsidR="00ED2E48" w:rsidRDefault="00ED2E48" w:rsidP="00FF3A9C">
      <w:pPr>
        <w:pStyle w:val="HWLELvl3"/>
        <w:numPr>
          <w:ilvl w:val="2"/>
          <w:numId w:val="19"/>
        </w:numPr>
        <w:jc w:val="both"/>
      </w:pPr>
      <w:r>
        <w:t>Employees must not enter into an arrangement that would have the effect of limiting their exposure to risk relating to either unvested remuneration, or vested remuneration which remains subject to a holding lock;</w:t>
      </w:r>
      <w:r w:rsidR="00AF1DF6">
        <w:t xml:space="preserve"> and</w:t>
      </w:r>
    </w:p>
    <w:p w14:paraId="444617E3" w14:textId="77777777" w:rsidR="00ED2E48" w:rsidRDefault="00ED2E48" w:rsidP="00FF3A9C">
      <w:pPr>
        <w:pStyle w:val="HWLELvl3"/>
        <w:numPr>
          <w:ilvl w:val="2"/>
          <w:numId w:val="19"/>
        </w:numPr>
        <w:jc w:val="both"/>
      </w:pPr>
      <w:r>
        <w:t>Employees must not enter into any margin lending or other secured financing arrangements in respect of the Company’s securities.</w:t>
      </w:r>
    </w:p>
    <w:p w14:paraId="0CD994DE" w14:textId="77777777" w:rsidR="00F67388" w:rsidRDefault="00F67388" w:rsidP="00FF3A9C">
      <w:pPr>
        <w:pStyle w:val="HWLELvl1"/>
        <w:numPr>
          <w:ilvl w:val="0"/>
          <w:numId w:val="19"/>
        </w:numPr>
        <w:pBdr>
          <w:between w:val="single" w:sz="8" w:space="1" w:color="898F4B"/>
        </w:pBdr>
        <w:jc w:val="both"/>
      </w:pPr>
      <w:bookmarkStart w:id="136" w:name="_Toc383613911"/>
      <w:bookmarkStart w:id="137" w:name="_Toc23167518"/>
      <w:r>
        <w:t>ASX notification by Directors</w:t>
      </w:r>
      <w:bookmarkEnd w:id="128"/>
      <w:bookmarkEnd w:id="129"/>
      <w:bookmarkEnd w:id="130"/>
      <w:bookmarkEnd w:id="131"/>
      <w:bookmarkEnd w:id="136"/>
      <w:bookmarkEnd w:id="137"/>
    </w:p>
    <w:p w14:paraId="1230CF89" w14:textId="77777777" w:rsidR="00F67388" w:rsidRDefault="00F67388" w:rsidP="00FF3A9C">
      <w:pPr>
        <w:pStyle w:val="HWLELvl3"/>
        <w:numPr>
          <w:ilvl w:val="2"/>
          <w:numId w:val="19"/>
        </w:numPr>
        <w:jc w:val="both"/>
      </w:pPr>
      <w:bookmarkStart w:id="138" w:name="_Toc319329162"/>
      <w:bookmarkStart w:id="139" w:name="_Toc335036879"/>
      <w:bookmarkStart w:id="140" w:name="_Toc283194843"/>
      <w:bookmarkStart w:id="141" w:name="_Toc297626841"/>
      <w:r>
        <w:t xml:space="preserve">Directors are required to notify the Chair and the ASX of any </w:t>
      </w:r>
      <w:r w:rsidRPr="00CC4E62">
        <w:t xml:space="preserve">dealing in </w:t>
      </w:r>
      <w:r>
        <w:t>the Company’s securities</w:t>
      </w:r>
      <w:r w:rsidRPr="00CC4E62">
        <w:t xml:space="preserve"> (either personally or through a third party) which results in a change in the relevant interests of the </w:t>
      </w:r>
      <w:r>
        <w:t>D</w:t>
      </w:r>
      <w:r w:rsidRPr="00CC4E62">
        <w:t xml:space="preserve">irector </w:t>
      </w:r>
      <w:r>
        <w:t>in securities in the Company.</w:t>
      </w:r>
    </w:p>
    <w:p w14:paraId="759667CC" w14:textId="77777777" w:rsidR="00F67388" w:rsidRDefault="00F67388" w:rsidP="00FF3A9C">
      <w:pPr>
        <w:pStyle w:val="HWLELvl3"/>
        <w:numPr>
          <w:ilvl w:val="2"/>
          <w:numId w:val="19"/>
        </w:numPr>
        <w:jc w:val="both"/>
      </w:pPr>
      <w:r>
        <w:t xml:space="preserve">While the Corporations Act requires Directors to notify the ASX of any changes to their holdings within 14 days (or if also a substantial shareholder as early as by 9.30am on the next trading day), the Company is required under the ASX Listing Rules to notify the ASX: </w:t>
      </w:r>
    </w:p>
    <w:p w14:paraId="261903AF" w14:textId="77777777" w:rsidR="00F67388" w:rsidRDefault="00F67388" w:rsidP="00FF3A9C">
      <w:pPr>
        <w:pStyle w:val="HWLELvl4"/>
        <w:numPr>
          <w:ilvl w:val="3"/>
          <w:numId w:val="19"/>
        </w:numPr>
        <w:jc w:val="both"/>
      </w:pPr>
      <w:r>
        <w:t>of the initial holding of each Director upon appointment and such subsequent dealings within five business days of the change; and</w:t>
      </w:r>
    </w:p>
    <w:p w14:paraId="28AF0CBE" w14:textId="77777777" w:rsidR="00F67388" w:rsidRPr="00965186" w:rsidRDefault="00F67388" w:rsidP="00FF3A9C">
      <w:pPr>
        <w:pStyle w:val="HWLELvl4"/>
        <w:numPr>
          <w:ilvl w:val="3"/>
          <w:numId w:val="19"/>
        </w:numPr>
        <w:jc w:val="both"/>
      </w:pPr>
      <w:r w:rsidRPr="00965186">
        <w:t xml:space="preserve">whether </w:t>
      </w:r>
      <w:r>
        <w:t>the dealing occurred during a Closed Period</w:t>
      </w:r>
      <w:r w:rsidRPr="00965186">
        <w:t xml:space="preserve"> and if so, whether written clearance was obtained</w:t>
      </w:r>
      <w:r>
        <w:t xml:space="preserve"> and on what date it was obtained</w:t>
      </w:r>
      <w:r w:rsidRPr="00965186">
        <w:t xml:space="preserve">. </w:t>
      </w:r>
    </w:p>
    <w:p w14:paraId="5E88A964" w14:textId="6F8A7AB9" w:rsidR="00F67388" w:rsidRDefault="00F67388" w:rsidP="00FF3A9C">
      <w:pPr>
        <w:pStyle w:val="HWLELvl3"/>
        <w:numPr>
          <w:ilvl w:val="2"/>
          <w:numId w:val="19"/>
        </w:numPr>
        <w:jc w:val="both"/>
      </w:pPr>
      <w:r>
        <w:t xml:space="preserve">To enable the Company to comply with these requirements, each Director must enter into a letter agreement with the Company in a form consistent with the pro forma agreement set out in Attachment 1 to Guidance Note 22 of the ASX Listing Rules. Directors must furnish the relevant information as soon as reasonably possible and in any event no later than three business days after the date of appointment or change, to the </w:t>
      </w:r>
      <w:r w:rsidR="00080AFD">
        <w:t xml:space="preserve">Company </w:t>
      </w:r>
      <w:r>
        <w:t>Secretary who will facilitate the transmission of these notifications to the ASX. Notifications will also be tabled before the Board.</w:t>
      </w:r>
    </w:p>
    <w:p w14:paraId="57F6F836" w14:textId="2AFC0C79" w:rsidR="00A67E4C" w:rsidRDefault="00B13170" w:rsidP="00FF3A9C">
      <w:pPr>
        <w:pStyle w:val="HWLELvl1"/>
        <w:numPr>
          <w:ilvl w:val="0"/>
          <w:numId w:val="19"/>
        </w:numPr>
        <w:pBdr>
          <w:between w:val="single" w:sz="8" w:space="1" w:color="898F4B"/>
        </w:pBdr>
        <w:jc w:val="both"/>
      </w:pPr>
      <w:bookmarkStart w:id="142" w:name="_Toc383613912"/>
      <w:bookmarkStart w:id="143" w:name="_Toc23167519"/>
      <w:r>
        <w:t xml:space="preserve">Canadian </w:t>
      </w:r>
      <w:r w:rsidR="00A67E4C">
        <w:t>Insider Reporting</w:t>
      </w:r>
      <w:r>
        <w:t xml:space="preserve"> - SEDI</w:t>
      </w:r>
    </w:p>
    <w:p w14:paraId="6CA656AE" w14:textId="77777777" w:rsidR="00383F18" w:rsidRPr="00383F18" w:rsidRDefault="00383F18" w:rsidP="00FF3A9C">
      <w:pPr>
        <w:pStyle w:val="HWLELvl3"/>
        <w:numPr>
          <w:ilvl w:val="2"/>
          <w:numId w:val="19"/>
        </w:numPr>
        <w:jc w:val="both"/>
      </w:pPr>
      <w:r w:rsidRPr="00383F18">
        <w:t>Under Canadian securities laws, “reporting insiders” (directors and senior officers of the Company and its subsidiaries, and persons or companies, funds or organizations owning or controlling more than 10% of the common shares of the Company) are required to file insider reports electronically through the “System for Electronic Disclosure by Insiders” (“</w:t>
      </w:r>
      <w:r w:rsidRPr="00383F18">
        <w:rPr>
          <w:b/>
        </w:rPr>
        <w:t>SEDI</w:t>
      </w:r>
      <w:r w:rsidRPr="00383F18">
        <w:t xml:space="preserve">”) at </w:t>
      </w:r>
      <w:r w:rsidRPr="00383F18">
        <w:rPr>
          <w:u w:val="single"/>
        </w:rPr>
        <w:t>www.sedi.ca</w:t>
      </w:r>
      <w:r w:rsidRPr="00383F18">
        <w:t>, disclosing their direct or indirect beneficial ownership of, or control or direction over, securities of the Company.</w:t>
      </w:r>
    </w:p>
    <w:p w14:paraId="44584D5E" w14:textId="7DFC1C5B" w:rsidR="00383F18" w:rsidRPr="00383F18" w:rsidRDefault="00383F18" w:rsidP="00FF3A9C">
      <w:pPr>
        <w:pStyle w:val="HWLELvl3"/>
        <w:numPr>
          <w:ilvl w:val="2"/>
          <w:numId w:val="19"/>
        </w:numPr>
        <w:jc w:val="both"/>
      </w:pPr>
      <w:r w:rsidRPr="00383F18">
        <w:t xml:space="preserve">Insider reports are required to be filed by reporting </w:t>
      </w:r>
      <w:r>
        <w:t>insiders</w:t>
      </w:r>
      <w:r w:rsidRPr="00383F18">
        <w:t xml:space="preserve"> on SEDI within 10 days of becoming a reporting insider (for example, on election as a director or appointment as a senior officer, if such individual beneficially owns or exercises control or direction over the Company’s securities at that time) and thereafter within 5 days after any change to previously filed information, or as otherwise may be prescribed by Canadian securities laws from time to time.</w:t>
      </w:r>
    </w:p>
    <w:p w14:paraId="520FF2D3" w14:textId="5A6466A2" w:rsidR="00383F18" w:rsidRDefault="00383F18" w:rsidP="00FF3A9C">
      <w:pPr>
        <w:pStyle w:val="HWLELvl3"/>
        <w:numPr>
          <w:ilvl w:val="2"/>
          <w:numId w:val="19"/>
        </w:numPr>
        <w:jc w:val="both"/>
      </w:pPr>
      <w:r w:rsidRPr="00383F18">
        <w:t>Filing of insider reports is the responsibility of each reporting insider</w:t>
      </w:r>
      <w:r>
        <w:t>, not of the Company</w:t>
      </w:r>
      <w:r w:rsidRPr="00383F18">
        <w:t>.</w:t>
      </w:r>
      <w:r>
        <w:t xml:space="preserve"> </w:t>
      </w:r>
      <w:r w:rsidRPr="00383F18">
        <w:t xml:space="preserve">The Company does not file insider reports on behalf of any reporting insiders, but </w:t>
      </w:r>
      <w:r>
        <w:t>may</w:t>
      </w:r>
      <w:r w:rsidRPr="00383F18">
        <w:t xml:space="preserve"> assist in compliance on request.</w:t>
      </w:r>
    </w:p>
    <w:p w14:paraId="0A9CE83E" w14:textId="139B90D5" w:rsidR="00383F18" w:rsidRPr="00383F18" w:rsidRDefault="00383F18" w:rsidP="00FF3A9C">
      <w:pPr>
        <w:pStyle w:val="HWLELvl3"/>
        <w:numPr>
          <w:ilvl w:val="2"/>
          <w:numId w:val="19"/>
        </w:numPr>
        <w:jc w:val="both"/>
      </w:pPr>
      <w:r w:rsidRPr="00383F18">
        <w:t>Reporting insiders are required to update their insider profile on SEDI: (i) if there is a change in the reporting insider’s name, his/her/its relationship to the Company, or if he/she/it ceases to be a reporting insider, within 10 days of the event; or (ii) if there has been any other change to the insider profile, at the next time of filing an insider report or amended insider profile. There are daily fines for late reporting and certain regulatory authorities publish a list of insiders who are late reporters.</w:t>
      </w:r>
    </w:p>
    <w:p w14:paraId="3BD74F66" w14:textId="389D0C9B" w:rsidR="00F67388" w:rsidRPr="005745E3" w:rsidRDefault="00F67388" w:rsidP="00FF3A9C">
      <w:pPr>
        <w:pStyle w:val="HWLELvl1"/>
        <w:numPr>
          <w:ilvl w:val="0"/>
          <w:numId w:val="19"/>
        </w:numPr>
        <w:pBdr>
          <w:between w:val="single" w:sz="8" w:space="1" w:color="898F4B"/>
        </w:pBdr>
        <w:jc w:val="both"/>
      </w:pPr>
      <w:r w:rsidRPr="005745E3">
        <w:t xml:space="preserve">Employment and </w:t>
      </w:r>
      <w:r>
        <w:t>monitoring</w:t>
      </w:r>
      <w:bookmarkEnd w:id="138"/>
      <w:bookmarkEnd w:id="139"/>
      <w:bookmarkEnd w:id="142"/>
      <w:bookmarkEnd w:id="143"/>
    </w:p>
    <w:p w14:paraId="4E0DCF60" w14:textId="5B447743" w:rsidR="00F67388" w:rsidRDefault="00F67388" w:rsidP="00FF3A9C">
      <w:pPr>
        <w:pStyle w:val="HWLELvl3"/>
        <w:numPr>
          <w:ilvl w:val="2"/>
          <w:numId w:val="19"/>
        </w:numPr>
        <w:jc w:val="both"/>
      </w:pPr>
      <w:bookmarkStart w:id="144" w:name="_Toc319329163"/>
      <w:bookmarkStart w:id="145" w:name="_Toc335036880"/>
      <w:r>
        <w:t xml:space="preserve">To promote understanding of the </w:t>
      </w:r>
      <w:r w:rsidR="00080AFD">
        <w:t>I</w:t>
      </w:r>
      <w:r>
        <w:t xml:space="preserve">nsider </w:t>
      </w:r>
      <w:r w:rsidR="00080AFD">
        <w:t>T</w:t>
      </w:r>
      <w:r>
        <w:t>rading prohibition</w:t>
      </w:r>
      <w:r w:rsidR="00080AFD">
        <w:t>s,</w:t>
      </w:r>
      <w:r>
        <w:t xml:space="preserve"> related </w:t>
      </w:r>
      <w:r w:rsidR="00080AFD">
        <w:t>Applicable Laws,</w:t>
      </w:r>
      <w:r>
        <w:t xml:space="preserve"> and this Policy, a copy of this Policy will be distributed to all Employees (present and future) and will be available on the Company’s website. </w:t>
      </w:r>
    </w:p>
    <w:p w14:paraId="02D96F1E" w14:textId="1DFFFCAF" w:rsidR="00F67388" w:rsidRDefault="00F67388" w:rsidP="00FF3A9C">
      <w:pPr>
        <w:pStyle w:val="HWLELvl3"/>
        <w:numPr>
          <w:ilvl w:val="2"/>
          <w:numId w:val="19"/>
        </w:numPr>
        <w:jc w:val="both"/>
      </w:pPr>
      <w:r>
        <w:t xml:space="preserve">The induction procedures for new Employees must require that a copy of this </w:t>
      </w:r>
      <w:r w:rsidR="00080AFD">
        <w:t>Policy</w:t>
      </w:r>
      <w:r>
        <w:t xml:space="preserve"> be provided to each new Employee.</w:t>
      </w:r>
    </w:p>
    <w:p w14:paraId="6A88922F" w14:textId="77777777" w:rsidR="00F67388" w:rsidRDefault="00F67388" w:rsidP="00FF3A9C">
      <w:pPr>
        <w:pStyle w:val="HWLELvl1"/>
        <w:numPr>
          <w:ilvl w:val="0"/>
          <w:numId w:val="19"/>
        </w:numPr>
        <w:pBdr>
          <w:between w:val="single" w:sz="8" w:space="1" w:color="898F4B"/>
        </w:pBdr>
        <w:jc w:val="both"/>
      </w:pPr>
      <w:bookmarkStart w:id="146" w:name="_Toc383613913"/>
      <w:bookmarkStart w:id="147" w:name="_Toc23167520"/>
      <w:r>
        <w:t>Compliance</w:t>
      </w:r>
      <w:bookmarkEnd w:id="144"/>
      <w:bookmarkEnd w:id="145"/>
      <w:bookmarkEnd w:id="146"/>
      <w:bookmarkEnd w:id="147"/>
    </w:p>
    <w:p w14:paraId="145D0F70" w14:textId="34525217" w:rsidR="00F67388" w:rsidRDefault="00F67388" w:rsidP="00FF3A9C">
      <w:pPr>
        <w:pStyle w:val="HWLELvl3"/>
        <w:numPr>
          <w:ilvl w:val="2"/>
          <w:numId w:val="19"/>
        </w:numPr>
        <w:jc w:val="both"/>
      </w:pPr>
      <w:bookmarkStart w:id="148" w:name="_Toc319329164"/>
      <w:bookmarkStart w:id="149" w:name="_Toc335036881"/>
      <w:r>
        <w:t xml:space="preserve">Compliance with the rules set out in this Policy is mandatory and is a condition of the employment of each officer and employee by the Company. Infringement of the </w:t>
      </w:r>
      <w:r w:rsidR="00080AFD">
        <w:t>I</w:t>
      </w:r>
      <w:r>
        <w:t xml:space="preserve">nsider </w:t>
      </w:r>
      <w:r w:rsidR="00080AFD">
        <w:t>T</w:t>
      </w:r>
      <w:r>
        <w:t>rading provisions can attract a substantial monetary penalty, imprisonment or both in addition to loss of employment or other disciplinary action.</w:t>
      </w:r>
    </w:p>
    <w:p w14:paraId="5125F78E" w14:textId="77777777" w:rsidR="00F67388" w:rsidRDefault="00F67388" w:rsidP="00FF3A9C">
      <w:pPr>
        <w:pStyle w:val="HWLELvl3"/>
        <w:numPr>
          <w:ilvl w:val="2"/>
          <w:numId w:val="19"/>
        </w:numPr>
        <w:jc w:val="both"/>
      </w:pPr>
      <w:r>
        <w:t>Any Employee who does not comply with this Policy will be considered to have engaged in serious misconduct which may result in the termination of their engagement by the Company.</w:t>
      </w:r>
    </w:p>
    <w:p w14:paraId="3896E172" w14:textId="20B28C96" w:rsidR="00F67388" w:rsidRDefault="00F67388" w:rsidP="00FF3A9C">
      <w:pPr>
        <w:pStyle w:val="HWLELvl3"/>
        <w:numPr>
          <w:ilvl w:val="2"/>
          <w:numId w:val="19"/>
        </w:numPr>
        <w:jc w:val="both"/>
      </w:pPr>
      <w:r>
        <w:t xml:space="preserve">Ultimate discretion rests with the Chair in respect of granting a waiver to the requirements of this Policy to allow Employees to trade in the securities of the Company, provided that to do so would </w:t>
      </w:r>
      <w:r w:rsidR="00080AFD">
        <w:t>comply</w:t>
      </w:r>
      <w:r>
        <w:t xml:space="preserve"> with Applicable </w:t>
      </w:r>
      <w:r w:rsidR="00080AFD">
        <w:t>Laws</w:t>
      </w:r>
      <w:r>
        <w:t>. A waiver can be given or refused by the Chair in his or her absolute discretion. The Chair’s decision to refuse a waiver is final and binding on the person seeking the waiver.</w:t>
      </w:r>
    </w:p>
    <w:p w14:paraId="0F53AA9C" w14:textId="77777777" w:rsidR="00F67388" w:rsidRDefault="00F67388" w:rsidP="00FF3A9C">
      <w:pPr>
        <w:pStyle w:val="HWLELvl1"/>
        <w:numPr>
          <w:ilvl w:val="0"/>
          <w:numId w:val="19"/>
        </w:numPr>
        <w:pBdr>
          <w:between w:val="single" w:sz="8" w:space="1" w:color="898F4B"/>
        </w:pBdr>
        <w:jc w:val="both"/>
      </w:pPr>
      <w:bookmarkStart w:id="150" w:name="_Toc383613914"/>
      <w:bookmarkStart w:id="151" w:name="_Toc23167521"/>
      <w:r>
        <w:t>Review</w:t>
      </w:r>
      <w:bookmarkEnd w:id="150"/>
      <w:bookmarkEnd w:id="151"/>
    </w:p>
    <w:p w14:paraId="17C4CE22" w14:textId="77777777" w:rsidR="00F67388" w:rsidRDefault="00F67388" w:rsidP="00F67388">
      <w:pPr>
        <w:pStyle w:val="LDStandardIndent"/>
      </w:pPr>
      <w:r>
        <w:t>The Board will review this Policy annually and this Policy may be amended by resolution of the Board.</w:t>
      </w:r>
    </w:p>
    <w:p w14:paraId="7424AF50" w14:textId="77777777" w:rsidR="00F67388" w:rsidRDefault="00F67388" w:rsidP="00FF3A9C">
      <w:pPr>
        <w:pStyle w:val="HWLELvl1"/>
        <w:numPr>
          <w:ilvl w:val="0"/>
          <w:numId w:val="19"/>
        </w:numPr>
        <w:pBdr>
          <w:between w:val="single" w:sz="8" w:space="1" w:color="898F4B"/>
        </w:pBdr>
        <w:jc w:val="both"/>
      </w:pPr>
      <w:bookmarkStart w:id="152" w:name="_Toc383613915"/>
      <w:bookmarkStart w:id="153" w:name="_Toc23167522"/>
      <w:r>
        <w:t>Policy responsibility</w:t>
      </w:r>
      <w:bookmarkEnd w:id="140"/>
      <w:bookmarkEnd w:id="141"/>
      <w:bookmarkEnd w:id="148"/>
      <w:bookmarkEnd w:id="149"/>
      <w:bookmarkEnd w:id="152"/>
      <w:bookmarkEnd w:id="153"/>
    </w:p>
    <w:p w14:paraId="3E667C69" w14:textId="39FC0E3E" w:rsidR="00F67388" w:rsidRDefault="00F67388" w:rsidP="00F67388">
      <w:pPr>
        <w:pStyle w:val="HWLEIndent"/>
        <w:jc w:val="both"/>
      </w:pPr>
      <w:r>
        <w:t xml:space="preserve">Each Employee is responsible for adhering to this Policy. The </w:t>
      </w:r>
      <w:r w:rsidR="00D0676D">
        <w:t xml:space="preserve">Company </w:t>
      </w:r>
      <w:r w:rsidRPr="00DA3970">
        <w:t>Secretary</w:t>
      </w:r>
      <w:r>
        <w:t xml:space="preserve"> has the responsibility for enforcing this Policy.</w:t>
      </w:r>
    </w:p>
    <w:p w14:paraId="7CBF94CB" w14:textId="77777777" w:rsidR="00F67388" w:rsidRDefault="00F67388" w:rsidP="00FF3A9C">
      <w:pPr>
        <w:pStyle w:val="HWLELvl1"/>
        <w:numPr>
          <w:ilvl w:val="0"/>
          <w:numId w:val="19"/>
        </w:numPr>
        <w:pBdr>
          <w:between w:val="single" w:sz="8" w:space="1" w:color="898F4B"/>
        </w:pBdr>
        <w:jc w:val="both"/>
      </w:pPr>
      <w:bookmarkStart w:id="154" w:name="_Toc319054524"/>
      <w:bookmarkStart w:id="155" w:name="_Toc319066042"/>
      <w:bookmarkStart w:id="156" w:name="_Toc319335237"/>
      <w:bookmarkStart w:id="157" w:name="_Toc339878499"/>
      <w:bookmarkStart w:id="158" w:name="_Toc383613916"/>
      <w:bookmarkStart w:id="159" w:name="_Toc23167523"/>
      <w:bookmarkStart w:id="160" w:name="_Toc319066041"/>
      <w:bookmarkStart w:id="161" w:name="_Toc319329166"/>
      <w:bookmarkStart w:id="162" w:name="_Toc335036883"/>
      <w:r>
        <w:t xml:space="preserve">Disclosure of </w:t>
      </w:r>
      <w:bookmarkEnd w:id="154"/>
      <w:bookmarkEnd w:id="155"/>
      <w:bookmarkEnd w:id="156"/>
      <w:bookmarkEnd w:id="157"/>
      <w:r>
        <w:t>Policy</w:t>
      </w:r>
      <w:bookmarkEnd w:id="158"/>
      <w:bookmarkEnd w:id="159"/>
      <w:r>
        <w:t xml:space="preserve"> </w:t>
      </w:r>
    </w:p>
    <w:p w14:paraId="5CBC28FB" w14:textId="6491A561" w:rsidR="00F67388" w:rsidRPr="008F174C" w:rsidRDefault="00F67388" w:rsidP="00F67388">
      <w:pPr>
        <w:pStyle w:val="HWLEIndent"/>
        <w:jc w:val="both"/>
      </w:pPr>
      <w:r>
        <w:t xml:space="preserve">This Policy will be made available, and updated as required, on the Company’s website </w:t>
      </w:r>
      <w:r w:rsidRPr="00E054EC">
        <w:t>in</w:t>
      </w:r>
      <w:r>
        <w:t xml:space="preserve"> a clearly marked </w:t>
      </w:r>
      <w:r w:rsidR="00E77C0F">
        <w:t>“</w:t>
      </w:r>
      <w:r>
        <w:t>Corporate Governance</w:t>
      </w:r>
      <w:r w:rsidR="00E77C0F">
        <w:t>”</w:t>
      </w:r>
      <w:r>
        <w:t xml:space="preserve"> section.</w:t>
      </w:r>
      <w:bookmarkEnd w:id="160"/>
      <w:bookmarkEnd w:id="161"/>
      <w:bookmarkEnd w:id="162"/>
    </w:p>
    <w:p w14:paraId="397CFB21" w14:textId="77777777" w:rsidR="00F67388" w:rsidRPr="00C14865" w:rsidRDefault="00F67388" w:rsidP="00F67388">
      <w:pPr>
        <w:pStyle w:val="Body"/>
      </w:pPr>
    </w:p>
    <w:p w14:paraId="3F47A524" w14:textId="56D29C8E" w:rsidR="008F174C" w:rsidRPr="00F67388" w:rsidRDefault="008F174C" w:rsidP="00F67388"/>
    <w:sectPr w:rsidR="008F174C" w:rsidRPr="00F67388" w:rsidSect="00C961A7">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09" w:footer="709" w:gutter="0"/>
      <w:paperSrc w:first="7" w:other="7"/>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0"/>
    </wne:keymap>
    <wne:keymap wne:kcmPrimary="0443">
      <wne:acd wne:acdName="acd3"/>
    </wne:keymap>
    <wne:keymap wne:kcmPrimary="0448">
      <wne:acd wne:acdName="acd1"/>
    </wne:keymap>
    <wne:keymap wne:kcmPrimary="0453">
      <wne:acd wne:acdName="acd2"/>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IAFcATABFACAAQgBvAGQAeQAgAFQAZQB4AHQA" wne:acdName="acd0" wne:fciIndexBasedOn="0065"/>
    <wne:acd wne:argValue="AgBIAFcATABFACAASABlAGEAZAA=" wne:acdName="acd1" wne:fciIndexBasedOn="0065"/>
    <wne:acd wne:argValue="AgBIAFcATABFACAAUwB1AGIAaABlAGEAZA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A735D" w14:textId="77777777" w:rsidR="00A167BC" w:rsidRDefault="00A167BC">
      <w:pPr>
        <w:spacing w:line="240" w:lineRule="auto"/>
      </w:pPr>
      <w:r>
        <w:separator/>
      </w:r>
    </w:p>
    <w:p w14:paraId="4478A7ED" w14:textId="77777777" w:rsidR="00A167BC" w:rsidRDefault="00A167BC"/>
  </w:endnote>
  <w:endnote w:type="continuationSeparator" w:id="0">
    <w:p w14:paraId="1A349E3D" w14:textId="77777777" w:rsidR="00A167BC" w:rsidRDefault="00A167BC">
      <w:pPr>
        <w:spacing w:line="240" w:lineRule="auto"/>
      </w:pPr>
      <w:r>
        <w:continuationSeparator/>
      </w:r>
    </w:p>
    <w:p w14:paraId="6FA75190" w14:textId="77777777" w:rsidR="00A167BC" w:rsidRDefault="00A16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alibri"/>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63" w:name="_iDocIDField5ec344c4-9eca-43b0-b227-b9f3"/>
  <w:p w14:paraId="658ED060" w14:textId="77777777" w:rsidR="0052129B" w:rsidRDefault="0052129B">
    <w:pPr>
      <w:pStyle w:val="DocID"/>
    </w:pPr>
    <w:r>
      <w:fldChar w:fldCharType="begin"/>
    </w:r>
    <w:r>
      <w:instrText xml:space="preserve">  DOCPROPERTY "CUS_DocIDChunk0" </w:instrText>
    </w:r>
    <w:r>
      <w:fldChar w:fldCharType="separate"/>
    </w:r>
    <w:r>
      <w:rPr>
        <w:noProof/>
      </w:rPr>
      <w:t>Doc ID 746741333/v3</w:t>
    </w:r>
    <w:r>
      <w:fldChar w:fldCharType="end"/>
    </w:r>
    <w:bookmarkEnd w:id="16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WLETable0cm"/>
      <w:tblW w:w="0" w:type="auto"/>
      <w:tblLook w:val="04A0" w:firstRow="1" w:lastRow="0" w:firstColumn="1" w:lastColumn="0" w:noHBand="0" w:noVBand="1"/>
    </w:tblPr>
    <w:tblGrid>
      <w:gridCol w:w="4239"/>
      <w:gridCol w:w="4266"/>
    </w:tblGrid>
    <w:tr w:rsidR="0052129B" w14:paraId="33F24B5B" w14:textId="77777777" w:rsidTr="00D62174">
      <w:tc>
        <w:tcPr>
          <w:tcW w:w="4621" w:type="dxa"/>
        </w:tcPr>
        <w:p w14:paraId="4697845D" w14:textId="77777777" w:rsidR="0052129B" w:rsidRDefault="0052129B" w:rsidP="00D62174">
          <w:pPr>
            <w:pStyle w:val="Footer"/>
          </w:pPr>
        </w:p>
      </w:tc>
      <w:tc>
        <w:tcPr>
          <w:tcW w:w="4621" w:type="dxa"/>
        </w:tcPr>
        <w:p w14:paraId="3DBDC318" w14:textId="3D1426BC" w:rsidR="0052129B" w:rsidRDefault="0052129B" w:rsidP="00D62174">
          <w:pPr>
            <w:pStyle w:val="Footer"/>
            <w:jc w:val="right"/>
          </w:pPr>
          <w:r>
            <w:t xml:space="preserve">Page </w:t>
          </w:r>
          <w:r>
            <w:fldChar w:fldCharType="begin"/>
          </w:r>
          <w:r>
            <w:instrText xml:space="preserve"> PAGE   \* MERGEFORMAT </w:instrText>
          </w:r>
          <w:r>
            <w:fldChar w:fldCharType="separate"/>
          </w:r>
          <w:r w:rsidR="00FD42DE">
            <w:rPr>
              <w:noProof/>
            </w:rPr>
            <w:t>5</w:t>
          </w:r>
          <w:r>
            <w:rPr>
              <w:noProof/>
            </w:rPr>
            <w:fldChar w:fldCharType="end"/>
          </w:r>
        </w:p>
      </w:tc>
    </w:tr>
  </w:tbl>
  <w:p w14:paraId="7141C184" w14:textId="77777777" w:rsidR="0052129B" w:rsidRDefault="0052129B" w:rsidP="00B00866">
    <w:pPr>
      <w:pStyle w:val="Footer"/>
    </w:pPr>
    <w:r>
      <w:rPr>
        <w:noProof/>
        <w:lang w:val="en-GB" w:eastAsia="en-GB"/>
      </w:rPr>
      <mc:AlternateContent>
        <mc:Choice Requires="wps">
          <w:drawing>
            <wp:anchor distT="0" distB="0" distL="114300" distR="114300" simplePos="0" relativeHeight="251659264" behindDoc="1" locked="0" layoutInCell="1" allowOverlap="1" wp14:anchorId="4764E856" wp14:editId="0531F62D">
              <wp:simplePos x="0" y="0"/>
              <wp:positionH relativeFrom="margin">
                <wp:posOffset>0</wp:posOffset>
              </wp:positionH>
              <wp:positionV relativeFrom="paragraph">
                <wp:posOffset>0</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2A24" w14:textId="77777777" w:rsidR="0052129B" w:rsidRDefault="0052129B" w:rsidP="00B00866">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4E856" id="_x0000_t202" coordsize="21600,21600" o:spt="202" path="m,l,21600r21600,l21600,xe">
              <v:stroke joinstyle="miter"/>
              <v:path gradientshapeok="t" o:connecttype="rect"/>
            </v:shapetype>
            <v:shape id="Text Box 2" o:spid="_x0000_s1026"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32822A24" w14:textId="77777777" w:rsidR="0052129B" w:rsidRDefault="0052129B" w:rsidP="00B00866">
                    <w:pPr>
                      <w:pStyle w:val="MacPacTrailer"/>
                    </w:pPr>
                  </w:p>
                </w:txbxContent>
              </v:textbox>
              <w10:wrap anchorx="margin"/>
            </v:shape>
          </w:pict>
        </mc:Fallback>
      </mc:AlternateContent>
    </w:r>
  </w:p>
  <w:bookmarkStart w:id="164" w:name="_iDocIDField895b9039-9774-4ad1-b6ea-bf8f"/>
  <w:p w14:paraId="02A9CE88" w14:textId="77777777" w:rsidR="0052129B" w:rsidRDefault="0052129B">
    <w:pPr>
      <w:pStyle w:val="DocID"/>
    </w:pPr>
    <w:r>
      <w:fldChar w:fldCharType="begin"/>
    </w:r>
    <w:r>
      <w:instrText xml:space="preserve">  DOCPROPERTY "CUS_DocIDChunk0" </w:instrText>
    </w:r>
    <w:r>
      <w:fldChar w:fldCharType="separate"/>
    </w:r>
    <w:r>
      <w:rPr>
        <w:noProof/>
      </w:rPr>
      <w:t>Doc ID 746741333/v3</w:t>
    </w:r>
    <w:r>
      <w:fldChar w:fldCharType="end"/>
    </w:r>
    <w:bookmarkEnd w:id="16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65" w:name="_iDocIDField948883dd-6047-4ee8-8d2e-f830"/>
  <w:p w14:paraId="7DF31C66" w14:textId="77777777" w:rsidR="0052129B" w:rsidRDefault="0052129B">
    <w:pPr>
      <w:pStyle w:val="DocID"/>
    </w:pPr>
    <w:r>
      <w:fldChar w:fldCharType="begin"/>
    </w:r>
    <w:r>
      <w:instrText xml:space="preserve">  DOCPROPERTY "CUS_DocIDChunk0" </w:instrText>
    </w:r>
    <w:r>
      <w:fldChar w:fldCharType="separate"/>
    </w:r>
    <w:r>
      <w:rPr>
        <w:noProof/>
      </w:rPr>
      <w:t>Doc ID 746741333/v3</w:t>
    </w:r>
    <w:r>
      <w:fldChar w:fldCharType="end"/>
    </w:r>
    <w:bookmarkEnd w:id="1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41BBC" w14:textId="77777777" w:rsidR="00A167BC" w:rsidRDefault="00A167BC">
      <w:pPr>
        <w:spacing w:line="240" w:lineRule="auto"/>
      </w:pPr>
      <w:r>
        <w:separator/>
      </w:r>
    </w:p>
    <w:p w14:paraId="5A78F0EF" w14:textId="77777777" w:rsidR="00A167BC" w:rsidRDefault="00A167BC"/>
  </w:footnote>
  <w:footnote w:type="continuationSeparator" w:id="0">
    <w:p w14:paraId="183CF189" w14:textId="77777777" w:rsidR="00A167BC" w:rsidRDefault="00A167BC">
      <w:pPr>
        <w:spacing w:line="240" w:lineRule="auto"/>
      </w:pPr>
      <w:r>
        <w:continuationSeparator/>
      </w:r>
    </w:p>
    <w:p w14:paraId="750ACC70" w14:textId="77777777" w:rsidR="00A167BC" w:rsidRDefault="00A16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034C3" w14:textId="77777777" w:rsidR="0052129B" w:rsidRDefault="00521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7F01" w14:textId="77777777" w:rsidR="0052129B" w:rsidRDefault="00521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6316" w14:textId="77777777" w:rsidR="0052129B" w:rsidRDefault="00521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9CEC9F1E"/>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77B5D5F"/>
    <w:multiLevelType w:val="multilevel"/>
    <w:tmpl w:val="F2FEB716"/>
    <w:lvl w:ilvl="0">
      <w:start w:val="1"/>
      <w:numFmt w:val="decimal"/>
      <w:pStyle w:val="HWLEStep1"/>
      <w:lvlText w:val="Step %1"/>
      <w:lvlJc w:val="left"/>
      <w:pPr>
        <w:tabs>
          <w:tab w:val="num" w:pos="851"/>
        </w:tabs>
        <w:ind w:left="851" w:hanging="851"/>
      </w:pPr>
      <w:rPr>
        <w:rFonts w:hint="default"/>
      </w:rPr>
    </w:lvl>
    <w:lvl w:ilvl="1">
      <w:start w:val="1"/>
      <w:numFmt w:val="lowerLetter"/>
      <w:pStyle w:val="HWLEStep2"/>
      <w:lvlText w:val="(%2)"/>
      <w:lvlJc w:val="left"/>
      <w:pPr>
        <w:tabs>
          <w:tab w:val="num" w:pos="1559"/>
        </w:tabs>
        <w:ind w:left="1559" w:hanging="708"/>
      </w:pPr>
      <w:rPr>
        <w:rFonts w:hint="default"/>
      </w:rPr>
    </w:lvl>
    <w:lvl w:ilvl="2">
      <w:start w:val="1"/>
      <w:numFmt w:val="lowerRoman"/>
      <w:pStyle w:val="HWLEStep3"/>
      <w:lvlText w:val="(%3)"/>
      <w:lvlJc w:val="left"/>
      <w:pPr>
        <w:tabs>
          <w:tab w:val="num" w:pos="2268"/>
        </w:tabs>
        <w:ind w:left="2268" w:hanging="709"/>
      </w:pPr>
      <w:rPr>
        <w:rFonts w:hint="default"/>
      </w:rPr>
    </w:lvl>
    <w:lvl w:ilvl="3">
      <w:start w:val="1"/>
      <w:numFmt w:val="upperLetter"/>
      <w:pStyle w:val="HWLEStep4"/>
      <w:lvlText w:val="(%4)"/>
      <w:lvlJc w:val="left"/>
      <w:pPr>
        <w:tabs>
          <w:tab w:val="num" w:pos="2977"/>
        </w:tabs>
        <w:ind w:left="2977" w:hanging="709"/>
      </w:pPr>
      <w:rPr>
        <w:rFonts w:hint="default"/>
      </w:rPr>
    </w:lvl>
    <w:lvl w:ilvl="4">
      <w:start w:val="1"/>
      <w:numFmt w:val="decimal"/>
      <w:pStyle w:val="HWLEStep5"/>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47634C2"/>
    <w:multiLevelType w:val="multilevel"/>
    <w:tmpl w:val="6F465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5662149"/>
    <w:multiLevelType w:val="multilevel"/>
    <w:tmpl w:val="2AB47FDE"/>
    <w:lvl w:ilvl="0">
      <w:start w:val="1"/>
      <w:numFmt w:val="decimal"/>
      <w:lvlText w:val="%1."/>
      <w:lvlJc w:val="left"/>
      <w:pPr>
        <w:tabs>
          <w:tab w:val="num" w:pos="709"/>
        </w:tabs>
        <w:ind w:left="709" w:hanging="709"/>
      </w:pPr>
      <w:rPr>
        <w:rFonts w:ascii="Arial" w:hAnsi="Arial" w:cs="Times New Roman" w:hint="default"/>
        <w:b w:val="0"/>
        <w:i w:val="0"/>
        <w:color w:val="898F4B"/>
        <w:sz w:val="28"/>
      </w:rPr>
    </w:lvl>
    <w:lvl w:ilvl="1">
      <w:start w:val="1"/>
      <w:numFmt w:val="decimal"/>
      <w:lvlText w:val="%1.%2"/>
      <w:lvlJc w:val="left"/>
      <w:pPr>
        <w:tabs>
          <w:tab w:val="num" w:pos="709"/>
        </w:tabs>
        <w:ind w:left="709" w:hanging="709"/>
      </w:pPr>
      <w:rPr>
        <w:rFonts w:ascii="Arial" w:hAnsi="Arial" w:cs="Times New Roman" w:hint="default"/>
        <w:b w:val="0"/>
        <w:i w:val="0"/>
        <w:color w:val="57584F"/>
        <w:sz w:val="22"/>
      </w:rPr>
    </w:lvl>
    <w:lvl w:ilvl="2">
      <w:start w:val="1"/>
      <w:numFmt w:val="lowerLetter"/>
      <w:lvlText w:val="(%3)"/>
      <w:lvlJc w:val="left"/>
      <w:pPr>
        <w:tabs>
          <w:tab w:val="num" w:pos="1418"/>
        </w:tabs>
        <w:ind w:left="1418" w:hanging="709"/>
      </w:pPr>
      <w:rPr>
        <w:rFonts w:ascii="Arial" w:hAnsi="Arial" w:cs="Arial" w:hint="default"/>
        <w:b w:val="0"/>
        <w:bCs w:val="0"/>
        <w:i w:val="0"/>
        <w:iCs w:val="0"/>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4"/>
        </w:tabs>
        <w:ind w:left="3544" w:hanging="709"/>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2"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91026FB"/>
    <w:multiLevelType w:val="multilevel"/>
    <w:tmpl w:val="789696E8"/>
    <w:lvl w:ilvl="0">
      <w:start w:val="1"/>
      <w:numFmt w:val="decimal"/>
      <w:pStyle w:val="HWLETblStep1"/>
      <w:lvlText w:val="Step %1"/>
      <w:lvlJc w:val="left"/>
      <w:pPr>
        <w:tabs>
          <w:tab w:val="num" w:pos="851"/>
        </w:tabs>
        <w:ind w:left="851" w:hanging="851"/>
      </w:pPr>
      <w:rPr>
        <w:rFonts w:hint="default"/>
      </w:rPr>
    </w:lvl>
    <w:lvl w:ilvl="1">
      <w:start w:val="1"/>
      <w:numFmt w:val="lowerLetter"/>
      <w:pStyle w:val="HWLETblStep2"/>
      <w:lvlText w:val="(%2)"/>
      <w:lvlJc w:val="left"/>
      <w:pPr>
        <w:tabs>
          <w:tab w:val="num" w:pos="709"/>
        </w:tabs>
        <w:ind w:left="709" w:hanging="709"/>
      </w:pPr>
      <w:rPr>
        <w:rFonts w:hint="default"/>
      </w:rPr>
    </w:lvl>
    <w:lvl w:ilvl="2">
      <w:start w:val="1"/>
      <w:numFmt w:val="lowerRoman"/>
      <w:pStyle w:val="HWLETblStep3"/>
      <w:lvlText w:val="(%3)"/>
      <w:lvlJc w:val="left"/>
      <w:pPr>
        <w:tabs>
          <w:tab w:val="num" w:pos="1418"/>
        </w:tabs>
        <w:ind w:left="1418" w:hanging="709"/>
      </w:pPr>
      <w:rPr>
        <w:rFonts w:hint="default"/>
      </w:rPr>
    </w:lvl>
    <w:lvl w:ilvl="3">
      <w:start w:val="1"/>
      <w:numFmt w:val="upperLetter"/>
      <w:pStyle w:val="HWLETblStep4"/>
      <w:lvlText w:val="(%4)"/>
      <w:lvlJc w:val="left"/>
      <w:pPr>
        <w:tabs>
          <w:tab w:val="num" w:pos="2126"/>
        </w:tabs>
        <w:ind w:left="2126" w:hanging="708"/>
      </w:pPr>
      <w:rPr>
        <w:rFonts w:hint="default"/>
      </w:rPr>
    </w:lvl>
    <w:lvl w:ilvl="4">
      <w:start w:val="1"/>
      <w:numFmt w:val="decimal"/>
      <w:pStyle w:val="HWLETblStep5"/>
      <w:lvlText w:val="(%5)"/>
      <w:lvlJc w:val="left"/>
      <w:pPr>
        <w:tabs>
          <w:tab w:val="num" w:pos="2835"/>
        </w:tabs>
        <w:ind w:left="2835" w:hanging="709"/>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4"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B412F29"/>
    <w:multiLevelType w:val="multilevel"/>
    <w:tmpl w:val="55447DF8"/>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57584F"/>
        <w:sz w:val="22"/>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9"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1BF7EFD"/>
    <w:multiLevelType w:val="multilevel"/>
    <w:tmpl w:val="A4DE8786"/>
    <w:name w:val="Gen-418048573-F"/>
    <w:lvl w:ilvl="0">
      <w:start w:val="1"/>
      <w:numFmt w:val="none"/>
      <w:suff w:val="nothing"/>
      <w:lvlText w:val="%1"/>
      <w:lvlJc w:val="left"/>
      <w:pPr>
        <w:ind w:left="0" w:firstLine="0"/>
      </w:pPr>
      <w:rPr>
        <w:rFonts w:ascii="Calibri" w:hAnsi="Calibri" w:cs="Times New Roman" w:hint="default"/>
        <w:sz w:val="22"/>
      </w:rPr>
    </w:lvl>
    <w:lvl w:ilvl="1">
      <w:start w:val="1"/>
      <w:numFmt w:val="decimal"/>
      <w:pStyle w:val="GenL2"/>
      <w:lvlText w:val="%2."/>
      <w:lvlJc w:val="left"/>
      <w:pPr>
        <w:tabs>
          <w:tab w:val="num" w:pos="1080"/>
        </w:tabs>
        <w:ind w:left="1080" w:hanging="1080"/>
      </w:pPr>
      <w:rPr>
        <w:rFonts w:ascii="Calibri" w:hAnsi="Calibri" w:cs="Times New Roman" w:hint="default"/>
        <w:color w:val="215868"/>
        <w:sz w:val="24"/>
      </w:rPr>
    </w:lvl>
    <w:lvl w:ilvl="2">
      <w:start w:val="1"/>
      <w:numFmt w:val="lowerLetter"/>
      <w:pStyle w:val="GenL3"/>
      <w:lvlText w:val="(%3)"/>
      <w:lvlJc w:val="left"/>
      <w:pPr>
        <w:tabs>
          <w:tab w:val="num" w:pos="1080"/>
        </w:tabs>
        <w:ind w:left="1080" w:hanging="1080"/>
      </w:pPr>
      <w:rPr>
        <w:rFonts w:ascii="Calibri" w:hAnsi="Calibri" w:cs="Times New Roman" w:hint="default"/>
        <w:sz w:val="22"/>
      </w:rPr>
    </w:lvl>
    <w:lvl w:ilvl="3">
      <w:start w:val="1"/>
      <w:numFmt w:val="lowerRoman"/>
      <w:pStyle w:val="GenL4"/>
      <w:lvlText w:val="(%4)"/>
      <w:lvlJc w:val="left"/>
      <w:pPr>
        <w:tabs>
          <w:tab w:val="num" w:pos="2880"/>
        </w:tabs>
        <w:ind w:left="1800" w:hanging="720"/>
      </w:pPr>
      <w:rPr>
        <w:rFonts w:ascii="Calibri" w:hAnsi="Calibri" w:cs="Times New Roman" w:hint="default"/>
        <w:sz w:val="22"/>
      </w:rPr>
    </w:lvl>
    <w:lvl w:ilvl="4">
      <w:start w:val="1"/>
      <w:numFmt w:val="upperRoman"/>
      <w:pStyle w:val="GenL5"/>
      <w:lvlText w:val="(%5)"/>
      <w:lvlJc w:val="right"/>
      <w:pPr>
        <w:tabs>
          <w:tab w:val="num" w:pos="3600"/>
        </w:tabs>
        <w:ind w:left="3600" w:hanging="432"/>
      </w:pPr>
      <w:rPr>
        <w:rFonts w:ascii="Calibri" w:hAnsi="Calibri" w:cs="Times New Roman" w:hint="default"/>
        <w:sz w:val="22"/>
      </w:rPr>
    </w:lvl>
    <w:lvl w:ilvl="5">
      <w:start w:val="1"/>
      <w:numFmt w:val="decimal"/>
      <w:pStyle w:val="GenL6"/>
      <w:lvlText w:val="(%6)"/>
      <w:lvlJc w:val="left"/>
      <w:pPr>
        <w:tabs>
          <w:tab w:val="num" w:pos="4320"/>
        </w:tabs>
        <w:ind w:left="4320" w:hanging="720"/>
      </w:pPr>
      <w:rPr>
        <w:rFonts w:ascii="Calibri" w:hAnsi="Calibri" w:cs="Times New Roman" w:hint="default"/>
        <w:sz w:val="22"/>
      </w:rPr>
    </w:lvl>
    <w:lvl w:ilvl="6">
      <w:start w:val="1"/>
      <w:numFmt w:val="lowerLetter"/>
      <w:pStyle w:val="GenL7"/>
      <w:lvlText w:val="%7)"/>
      <w:lvlJc w:val="left"/>
      <w:pPr>
        <w:tabs>
          <w:tab w:val="num" w:pos="5040"/>
        </w:tabs>
        <w:ind w:left="5040" w:hanging="720"/>
      </w:pPr>
      <w:rPr>
        <w:rFonts w:ascii="Calibri" w:hAnsi="Calibri" w:cs="Times New Roman" w:hint="default"/>
        <w:sz w:val="22"/>
      </w:rPr>
    </w:lvl>
    <w:lvl w:ilvl="7">
      <w:start w:val="1"/>
      <w:numFmt w:val="lowerRoman"/>
      <w:pStyle w:val="GenL8"/>
      <w:lvlText w:val="%8)"/>
      <w:lvlJc w:val="right"/>
      <w:pPr>
        <w:tabs>
          <w:tab w:val="num" w:pos="5760"/>
        </w:tabs>
        <w:ind w:left="5760" w:hanging="432"/>
      </w:pPr>
      <w:rPr>
        <w:rFonts w:ascii="Calibri" w:hAnsi="Calibri" w:cs="Times New Roman" w:hint="default"/>
        <w:sz w:val="22"/>
      </w:rPr>
    </w:lvl>
    <w:lvl w:ilvl="8">
      <w:start w:val="1"/>
      <w:numFmt w:val="decimal"/>
      <w:pStyle w:val="GenL9"/>
      <w:lvlText w:val="%9)"/>
      <w:lvlJc w:val="left"/>
      <w:pPr>
        <w:tabs>
          <w:tab w:val="num" w:pos="6480"/>
        </w:tabs>
        <w:ind w:left="6480" w:hanging="720"/>
      </w:pPr>
      <w:rPr>
        <w:rFonts w:ascii="Calibri" w:hAnsi="Calibri" w:cs="Times New Roman" w:hint="default"/>
        <w:sz w:val="22"/>
      </w:rPr>
    </w:lvl>
  </w:abstractNum>
  <w:abstractNum w:abstractNumId="21" w15:restartNumberingAfterBreak="0">
    <w:nsid w:val="76364E41"/>
    <w:multiLevelType w:val="multilevel"/>
    <w:tmpl w:val="4A924C64"/>
    <w:lvl w:ilvl="0">
      <w:start w:val="1"/>
      <w:numFmt w:val="none"/>
      <w:suff w:val="nothing"/>
      <w:lvlText w:val=""/>
      <w:lvlJc w:val="left"/>
      <w:pPr>
        <w:ind w:left="0" w:firstLine="0"/>
      </w:pPr>
      <w:rPr>
        <w:rFonts w:hint="default"/>
        <w:b/>
        <w:i w:val="0"/>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1418"/>
        </w:tabs>
        <w:ind w:left="1418" w:hanging="709"/>
      </w:pPr>
      <w:rPr>
        <w:rFonts w:hint="default"/>
      </w:rPr>
    </w:lvl>
    <w:lvl w:ilvl="3">
      <w:start w:val="1"/>
      <w:numFmt w:val="upperLetter"/>
      <w:lvlText w:val="(%4)"/>
      <w:lvlJc w:val="left"/>
      <w:pPr>
        <w:tabs>
          <w:tab w:val="num" w:pos="2126"/>
        </w:tabs>
        <w:ind w:left="2126" w:hanging="708"/>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12"/>
  </w:num>
  <w:num w:numId="3">
    <w:abstractNumId w:val="8"/>
  </w:num>
  <w:num w:numId="4">
    <w:abstractNumId w:val="14"/>
  </w:num>
  <w:num w:numId="5">
    <w:abstractNumId w:val="9"/>
  </w:num>
  <w:num w:numId="6">
    <w:abstractNumId w:val="3"/>
  </w:num>
  <w:num w:numId="7">
    <w:abstractNumId w:val="19"/>
  </w:num>
  <w:num w:numId="8">
    <w:abstractNumId w:val="2"/>
  </w:num>
  <w:num w:numId="9">
    <w:abstractNumId w:val="1"/>
  </w:num>
  <w:num w:numId="10">
    <w:abstractNumId w:val="18"/>
  </w:num>
  <w:num w:numId="11">
    <w:abstractNumId w:val="16"/>
  </w:num>
  <w:num w:numId="12">
    <w:abstractNumId w:val="17"/>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21"/>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a┕┪;1&gt;yřmÏS⌕Ɠ6⌛‡ç⌂p)Ï⌐CI4vaÙI'!Ô_Fs⌍⌍~⌔ñ{´@Ƈ¦ž⌖⌚Pòc!ſ⌡Ï=tæU‱Y¾Çŧ4$}g@⌒⌝⌘ℨ“⌊5ç⌇{F”¬(÷°B‫IÖ-ÌP¹}Z⌃ô‣‿/+B@Rv!xNª¯’ˌ⌅¸Æ|ÕÝK®s§yŔ*ÇXT/p^\7LG1L011"/>
    <w:docVar w:name="zzmp10LastTrailerInserted_1078" w:val="^`~#mp!@⌚⌔@#a┕┪;1&gt;yřmÏS⌕Ɠ6⌛‡ç⌂p)Ï⌐CI4vaÙI'!Ô_Fs⌍⌍~⌔ñ{´@Ƈ¦ž⌖⌚Pòc!ſ⌡Ï=tæU‱Y¾Çŧ4$}g@⌒⌝⌘ℨ“⌊5ç⌇{F”¬(÷°B‫IÖ-ÌP¹}Z⌃ô‣‿/+B@Rv!xNª¯’ˌ⌅¸Æ|ÕÝK®s§yŔ*ÇXT/p^\7LG1L011"/>
    <w:docVar w:name="zzmp10mSEGsValidated" w:val="1"/>
    <w:docVar w:name="zzmpCompatibilityMode" w:val="15"/>
    <w:docVar w:name="zzmpLegacyTrailerRemoved" w:val="True"/>
  </w:docVars>
  <w:rsids>
    <w:rsidRoot w:val="00F5130B"/>
    <w:rsid w:val="00010E48"/>
    <w:rsid w:val="00021AA5"/>
    <w:rsid w:val="0004506D"/>
    <w:rsid w:val="0004650E"/>
    <w:rsid w:val="00047414"/>
    <w:rsid w:val="00050354"/>
    <w:rsid w:val="00060A55"/>
    <w:rsid w:val="00065C40"/>
    <w:rsid w:val="00074946"/>
    <w:rsid w:val="00075B42"/>
    <w:rsid w:val="000777AF"/>
    <w:rsid w:val="00080AFD"/>
    <w:rsid w:val="00083086"/>
    <w:rsid w:val="000B5659"/>
    <w:rsid w:val="000C1D1E"/>
    <w:rsid w:val="000E4738"/>
    <w:rsid w:val="000F0A5C"/>
    <w:rsid w:val="000F158F"/>
    <w:rsid w:val="000F4DBB"/>
    <w:rsid w:val="00104BA5"/>
    <w:rsid w:val="001275DD"/>
    <w:rsid w:val="001442DC"/>
    <w:rsid w:val="001842E5"/>
    <w:rsid w:val="00186520"/>
    <w:rsid w:val="00191FBB"/>
    <w:rsid w:val="001D12BB"/>
    <w:rsid w:val="001D30AB"/>
    <w:rsid w:val="001D3F3C"/>
    <w:rsid w:val="001F1B6D"/>
    <w:rsid w:val="001F6F6F"/>
    <w:rsid w:val="001F7087"/>
    <w:rsid w:val="002157B2"/>
    <w:rsid w:val="00236947"/>
    <w:rsid w:val="00240D8D"/>
    <w:rsid w:val="002431BE"/>
    <w:rsid w:val="00264F96"/>
    <w:rsid w:val="00274BF8"/>
    <w:rsid w:val="002910F4"/>
    <w:rsid w:val="00297FA8"/>
    <w:rsid w:val="002A0BDF"/>
    <w:rsid w:val="002A2537"/>
    <w:rsid w:val="002A454A"/>
    <w:rsid w:val="002C187B"/>
    <w:rsid w:val="002C53CE"/>
    <w:rsid w:val="002D2D72"/>
    <w:rsid w:val="002D3069"/>
    <w:rsid w:val="002D5587"/>
    <w:rsid w:val="002D5AE6"/>
    <w:rsid w:val="002E3F89"/>
    <w:rsid w:val="002F5E37"/>
    <w:rsid w:val="00313D0B"/>
    <w:rsid w:val="00326E12"/>
    <w:rsid w:val="00330D42"/>
    <w:rsid w:val="0033312E"/>
    <w:rsid w:val="00355EA0"/>
    <w:rsid w:val="00363037"/>
    <w:rsid w:val="00363B0F"/>
    <w:rsid w:val="00364DE0"/>
    <w:rsid w:val="00364EB5"/>
    <w:rsid w:val="0037334C"/>
    <w:rsid w:val="003744C1"/>
    <w:rsid w:val="00383F18"/>
    <w:rsid w:val="00390F1A"/>
    <w:rsid w:val="003A3108"/>
    <w:rsid w:val="003A56E9"/>
    <w:rsid w:val="003C399F"/>
    <w:rsid w:val="003D1B30"/>
    <w:rsid w:val="003E3275"/>
    <w:rsid w:val="003F159C"/>
    <w:rsid w:val="004022D5"/>
    <w:rsid w:val="00403929"/>
    <w:rsid w:val="00426F87"/>
    <w:rsid w:val="004311EB"/>
    <w:rsid w:val="004339AC"/>
    <w:rsid w:val="00441B9C"/>
    <w:rsid w:val="004558D5"/>
    <w:rsid w:val="004627D0"/>
    <w:rsid w:val="00463EA8"/>
    <w:rsid w:val="00466635"/>
    <w:rsid w:val="00477846"/>
    <w:rsid w:val="00481A24"/>
    <w:rsid w:val="00494EC8"/>
    <w:rsid w:val="00497648"/>
    <w:rsid w:val="004B77B6"/>
    <w:rsid w:val="004D3DDC"/>
    <w:rsid w:val="004D5A9A"/>
    <w:rsid w:val="00502CDE"/>
    <w:rsid w:val="0051036E"/>
    <w:rsid w:val="00514801"/>
    <w:rsid w:val="0052129B"/>
    <w:rsid w:val="00521CE5"/>
    <w:rsid w:val="00521D7E"/>
    <w:rsid w:val="0052736D"/>
    <w:rsid w:val="005273ED"/>
    <w:rsid w:val="0054640A"/>
    <w:rsid w:val="00560BCE"/>
    <w:rsid w:val="00567DCD"/>
    <w:rsid w:val="00582B78"/>
    <w:rsid w:val="005A06F0"/>
    <w:rsid w:val="005B0F4A"/>
    <w:rsid w:val="005B37CC"/>
    <w:rsid w:val="005F21C2"/>
    <w:rsid w:val="005F49A4"/>
    <w:rsid w:val="00620C97"/>
    <w:rsid w:val="00626C1A"/>
    <w:rsid w:val="006407B3"/>
    <w:rsid w:val="0064104E"/>
    <w:rsid w:val="006712B2"/>
    <w:rsid w:val="006A69EF"/>
    <w:rsid w:val="006A7F94"/>
    <w:rsid w:val="006B02BF"/>
    <w:rsid w:val="006D3BEF"/>
    <w:rsid w:val="006E2431"/>
    <w:rsid w:val="007013A4"/>
    <w:rsid w:val="00707D10"/>
    <w:rsid w:val="00724050"/>
    <w:rsid w:val="007316EE"/>
    <w:rsid w:val="0073209B"/>
    <w:rsid w:val="00744752"/>
    <w:rsid w:val="00770F28"/>
    <w:rsid w:val="007729FD"/>
    <w:rsid w:val="00780CBB"/>
    <w:rsid w:val="007A3166"/>
    <w:rsid w:val="007A355D"/>
    <w:rsid w:val="007A451C"/>
    <w:rsid w:val="007B71D3"/>
    <w:rsid w:val="007C78BF"/>
    <w:rsid w:val="007F13D1"/>
    <w:rsid w:val="007F50F5"/>
    <w:rsid w:val="008203B0"/>
    <w:rsid w:val="00820CA8"/>
    <w:rsid w:val="0082775D"/>
    <w:rsid w:val="0084244F"/>
    <w:rsid w:val="00854DAE"/>
    <w:rsid w:val="00870FF2"/>
    <w:rsid w:val="008864EE"/>
    <w:rsid w:val="008946F5"/>
    <w:rsid w:val="00895871"/>
    <w:rsid w:val="00896347"/>
    <w:rsid w:val="008A07B5"/>
    <w:rsid w:val="008A7B97"/>
    <w:rsid w:val="008B59F0"/>
    <w:rsid w:val="008B663D"/>
    <w:rsid w:val="008C31AC"/>
    <w:rsid w:val="008C4D51"/>
    <w:rsid w:val="008C76F1"/>
    <w:rsid w:val="008D6B95"/>
    <w:rsid w:val="008F174C"/>
    <w:rsid w:val="008F7CF8"/>
    <w:rsid w:val="00902639"/>
    <w:rsid w:val="00907A8A"/>
    <w:rsid w:val="00935FD2"/>
    <w:rsid w:val="00960D7E"/>
    <w:rsid w:val="0099168D"/>
    <w:rsid w:val="009976EB"/>
    <w:rsid w:val="009A2D94"/>
    <w:rsid w:val="009A4302"/>
    <w:rsid w:val="009A47B6"/>
    <w:rsid w:val="009A51D3"/>
    <w:rsid w:val="009B0AC8"/>
    <w:rsid w:val="009C0E02"/>
    <w:rsid w:val="009E260A"/>
    <w:rsid w:val="009F55A1"/>
    <w:rsid w:val="009F5E20"/>
    <w:rsid w:val="00A167BC"/>
    <w:rsid w:val="00A30421"/>
    <w:rsid w:val="00A30A4F"/>
    <w:rsid w:val="00A3120B"/>
    <w:rsid w:val="00A41069"/>
    <w:rsid w:val="00A5375B"/>
    <w:rsid w:val="00A67E4C"/>
    <w:rsid w:val="00A712F9"/>
    <w:rsid w:val="00A71744"/>
    <w:rsid w:val="00A8611A"/>
    <w:rsid w:val="00A86EAA"/>
    <w:rsid w:val="00A9033E"/>
    <w:rsid w:val="00A92F13"/>
    <w:rsid w:val="00AA1252"/>
    <w:rsid w:val="00AB0526"/>
    <w:rsid w:val="00AB098B"/>
    <w:rsid w:val="00AB1DC8"/>
    <w:rsid w:val="00AB358B"/>
    <w:rsid w:val="00AC5C19"/>
    <w:rsid w:val="00AF1DF6"/>
    <w:rsid w:val="00AF4FD6"/>
    <w:rsid w:val="00B04BB7"/>
    <w:rsid w:val="00B06AA7"/>
    <w:rsid w:val="00B07FFB"/>
    <w:rsid w:val="00B1004F"/>
    <w:rsid w:val="00B11CCE"/>
    <w:rsid w:val="00B13170"/>
    <w:rsid w:val="00B23919"/>
    <w:rsid w:val="00B243D8"/>
    <w:rsid w:val="00B61F72"/>
    <w:rsid w:val="00B72A32"/>
    <w:rsid w:val="00B776A3"/>
    <w:rsid w:val="00B82890"/>
    <w:rsid w:val="00B9565E"/>
    <w:rsid w:val="00BB77AE"/>
    <w:rsid w:val="00BC6FFD"/>
    <w:rsid w:val="00BC72E5"/>
    <w:rsid w:val="00BD25F9"/>
    <w:rsid w:val="00BE4DAA"/>
    <w:rsid w:val="00BF0F64"/>
    <w:rsid w:val="00C07CDF"/>
    <w:rsid w:val="00C2147E"/>
    <w:rsid w:val="00C31D34"/>
    <w:rsid w:val="00C37966"/>
    <w:rsid w:val="00C450EE"/>
    <w:rsid w:val="00C46AF9"/>
    <w:rsid w:val="00C53565"/>
    <w:rsid w:val="00C67A20"/>
    <w:rsid w:val="00C876E6"/>
    <w:rsid w:val="00C961A7"/>
    <w:rsid w:val="00CA78F1"/>
    <w:rsid w:val="00CB0382"/>
    <w:rsid w:val="00CC6CA3"/>
    <w:rsid w:val="00CD1E71"/>
    <w:rsid w:val="00CD3543"/>
    <w:rsid w:val="00CE2275"/>
    <w:rsid w:val="00D0676D"/>
    <w:rsid w:val="00D238A2"/>
    <w:rsid w:val="00D45A96"/>
    <w:rsid w:val="00D46CA8"/>
    <w:rsid w:val="00D637C4"/>
    <w:rsid w:val="00D65868"/>
    <w:rsid w:val="00D67F8C"/>
    <w:rsid w:val="00D8494B"/>
    <w:rsid w:val="00DB6B58"/>
    <w:rsid w:val="00E02332"/>
    <w:rsid w:val="00E050C4"/>
    <w:rsid w:val="00E35E07"/>
    <w:rsid w:val="00E6185A"/>
    <w:rsid w:val="00E630C9"/>
    <w:rsid w:val="00E6702C"/>
    <w:rsid w:val="00E73818"/>
    <w:rsid w:val="00E77C0F"/>
    <w:rsid w:val="00E77E38"/>
    <w:rsid w:val="00E831E8"/>
    <w:rsid w:val="00E86505"/>
    <w:rsid w:val="00E867B9"/>
    <w:rsid w:val="00E905B9"/>
    <w:rsid w:val="00E944DC"/>
    <w:rsid w:val="00E9588C"/>
    <w:rsid w:val="00ED2E48"/>
    <w:rsid w:val="00EE5658"/>
    <w:rsid w:val="00EF4875"/>
    <w:rsid w:val="00F21915"/>
    <w:rsid w:val="00F25DEB"/>
    <w:rsid w:val="00F2680F"/>
    <w:rsid w:val="00F34DD7"/>
    <w:rsid w:val="00F461B0"/>
    <w:rsid w:val="00F5130B"/>
    <w:rsid w:val="00F67388"/>
    <w:rsid w:val="00F71AC2"/>
    <w:rsid w:val="00FA06C0"/>
    <w:rsid w:val="00FA47C9"/>
    <w:rsid w:val="00FC7568"/>
    <w:rsid w:val="00FD42DE"/>
    <w:rsid w:val="00FE0DAC"/>
    <w:rsid w:val="00FE0E5E"/>
    <w:rsid w:val="00FE70A3"/>
    <w:rsid w:val="00FF3A9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1FAF65"/>
  <w15:docId w15:val="{95074C68-7D7F-4D57-A7FA-5376170A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0B"/>
    <w:pPr>
      <w:spacing w:after="0" w:line="260" w:lineRule="atLeast"/>
    </w:pPr>
    <w:rPr>
      <w:rFonts w:ascii="Arial" w:hAnsi="Arial"/>
      <w:sz w:val="20"/>
    </w:rPr>
  </w:style>
  <w:style w:type="paragraph" w:styleId="Heading1">
    <w:name w:val="heading 1"/>
    <w:basedOn w:val="Normal"/>
    <w:next w:val="Normal"/>
    <w:link w:val="Heading1Char"/>
    <w:uiPriority w:val="9"/>
    <w:qFormat/>
    <w:rsid w:val="00F5130B"/>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F5130B"/>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F5130B"/>
    <w:pPr>
      <w:outlineLvl w:val="2"/>
    </w:pPr>
    <w:rPr>
      <w:rFonts w:eastAsiaTheme="majorEastAsia" w:cstheme="majorBidi"/>
      <w:bCs/>
    </w:rPr>
  </w:style>
  <w:style w:type="paragraph" w:styleId="Heading4">
    <w:name w:val="heading 4"/>
    <w:basedOn w:val="Normal"/>
    <w:next w:val="Normal"/>
    <w:link w:val="Heading4Char"/>
    <w:uiPriority w:val="9"/>
    <w:unhideWhenUsed/>
    <w:qFormat/>
    <w:rsid w:val="00F5130B"/>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F5130B"/>
    <w:pPr>
      <w:outlineLvl w:val="4"/>
    </w:pPr>
    <w:rPr>
      <w:rFonts w:eastAsiaTheme="majorEastAsia" w:cstheme="majorBidi"/>
    </w:rPr>
  </w:style>
  <w:style w:type="paragraph" w:styleId="Heading6">
    <w:name w:val="heading 6"/>
    <w:basedOn w:val="Normal"/>
    <w:next w:val="Normal"/>
    <w:link w:val="Heading6Char"/>
    <w:uiPriority w:val="9"/>
    <w:unhideWhenUsed/>
    <w:qFormat/>
    <w:rsid w:val="00F5130B"/>
    <w:pPr>
      <w:outlineLvl w:val="5"/>
    </w:pPr>
    <w:rPr>
      <w:rFonts w:eastAsiaTheme="majorEastAsia" w:cstheme="majorBidi"/>
      <w:iCs/>
    </w:rPr>
  </w:style>
  <w:style w:type="paragraph" w:styleId="Heading7">
    <w:name w:val="heading 7"/>
    <w:basedOn w:val="Normal"/>
    <w:next w:val="Normal"/>
    <w:link w:val="Heading7Char"/>
    <w:uiPriority w:val="9"/>
    <w:unhideWhenUsed/>
    <w:qFormat/>
    <w:rsid w:val="00F5130B"/>
    <w:pPr>
      <w:outlineLvl w:val="6"/>
    </w:pPr>
    <w:rPr>
      <w:rFonts w:eastAsiaTheme="majorEastAsia" w:cstheme="majorBidi"/>
      <w:iCs/>
    </w:rPr>
  </w:style>
  <w:style w:type="paragraph" w:styleId="Heading8">
    <w:name w:val="heading 8"/>
    <w:basedOn w:val="Normal"/>
    <w:next w:val="Normal"/>
    <w:link w:val="Heading8Char"/>
    <w:uiPriority w:val="9"/>
    <w:unhideWhenUsed/>
    <w:qFormat/>
    <w:rsid w:val="00F5130B"/>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F5130B"/>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F5130B"/>
    <w:pPr>
      <w:keepNext/>
      <w:numPr>
        <w:numId w:val="6"/>
      </w:numPr>
      <w:pBdr>
        <w:bottom w:val="single" w:sz="8" w:space="4" w:color="898F4B"/>
      </w:pBdr>
      <w:spacing w:before="600" w:after="240"/>
      <w:outlineLvl w:val="0"/>
    </w:pPr>
    <w:rPr>
      <w:color w:val="898F4B"/>
      <w:sz w:val="28"/>
    </w:rPr>
  </w:style>
  <w:style w:type="paragraph" w:customStyle="1" w:styleId="HWLELvl2">
    <w:name w:val="HWLE Lvl 2"/>
    <w:basedOn w:val="Normal"/>
    <w:next w:val="HWLEIndent"/>
    <w:qFormat/>
    <w:rsid w:val="00F5130B"/>
    <w:pPr>
      <w:keepNext/>
      <w:numPr>
        <w:ilvl w:val="1"/>
        <w:numId w:val="6"/>
      </w:numPr>
      <w:spacing w:before="360" w:after="240"/>
      <w:outlineLvl w:val="1"/>
    </w:pPr>
    <w:rPr>
      <w:rFonts w:ascii="Arial Bold" w:hAnsi="Arial Bold"/>
      <w:color w:val="57584F"/>
      <w:sz w:val="22"/>
    </w:rPr>
  </w:style>
  <w:style w:type="paragraph" w:customStyle="1" w:styleId="HWLELvl3">
    <w:name w:val="HWLE Lvl 3"/>
    <w:basedOn w:val="Normal"/>
    <w:qFormat/>
    <w:rsid w:val="00F5130B"/>
    <w:pPr>
      <w:numPr>
        <w:ilvl w:val="2"/>
        <w:numId w:val="6"/>
      </w:numPr>
      <w:spacing w:before="240" w:after="240"/>
      <w:outlineLvl w:val="2"/>
    </w:pPr>
  </w:style>
  <w:style w:type="paragraph" w:customStyle="1" w:styleId="HWLELvl4">
    <w:name w:val="HWLE Lvl 4"/>
    <w:basedOn w:val="Normal"/>
    <w:qFormat/>
    <w:rsid w:val="00F5130B"/>
    <w:pPr>
      <w:numPr>
        <w:ilvl w:val="3"/>
        <w:numId w:val="6"/>
      </w:numPr>
      <w:spacing w:before="240" w:after="240"/>
      <w:ind w:left="2127" w:hanging="709"/>
      <w:outlineLvl w:val="3"/>
    </w:pPr>
  </w:style>
  <w:style w:type="paragraph" w:customStyle="1" w:styleId="HWLELvl5">
    <w:name w:val="HWLE Lvl 5"/>
    <w:basedOn w:val="Normal"/>
    <w:qFormat/>
    <w:rsid w:val="00F5130B"/>
    <w:pPr>
      <w:numPr>
        <w:ilvl w:val="4"/>
        <w:numId w:val="6"/>
      </w:numPr>
      <w:spacing w:before="240" w:after="240"/>
      <w:outlineLvl w:val="4"/>
    </w:pPr>
  </w:style>
  <w:style w:type="paragraph" w:customStyle="1" w:styleId="HWLELvl6">
    <w:name w:val="HWLE Lvl 6"/>
    <w:basedOn w:val="Normal"/>
    <w:qFormat/>
    <w:rsid w:val="00F5130B"/>
    <w:pPr>
      <w:numPr>
        <w:ilvl w:val="5"/>
        <w:numId w:val="6"/>
      </w:numPr>
      <w:spacing w:before="240" w:after="240"/>
      <w:outlineLvl w:val="5"/>
    </w:pPr>
  </w:style>
  <w:style w:type="paragraph" w:customStyle="1" w:styleId="HWLEBodyText">
    <w:name w:val="HWLE Body Text"/>
    <w:basedOn w:val="Normal"/>
    <w:link w:val="HWLEBodyTextChar"/>
    <w:qFormat/>
    <w:rsid w:val="00F5130B"/>
    <w:pPr>
      <w:spacing w:before="240" w:after="240"/>
    </w:pPr>
  </w:style>
  <w:style w:type="paragraph" w:customStyle="1" w:styleId="HWLEIndent">
    <w:name w:val="HWLE Indent"/>
    <w:basedOn w:val="Normal"/>
    <w:qFormat/>
    <w:rsid w:val="00F5130B"/>
    <w:pPr>
      <w:spacing w:before="240" w:after="240"/>
      <w:ind w:left="709"/>
    </w:pPr>
  </w:style>
  <w:style w:type="paragraph" w:customStyle="1" w:styleId="HWLEDef1">
    <w:name w:val="HWLE Def 1"/>
    <w:basedOn w:val="Normal"/>
    <w:qFormat/>
    <w:rsid w:val="00F5130B"/>
    <w:pPr>
      <w:numPr>
        <w:numId w:val="3"/>
      </w:numPr>
      <w:spacing w:before="120" w:after="120"/>
      <w:outlineLvl w:val="0"/>
    </w:pPr>
    <w:rPr>
      <w:rFonts w:ascii="Arial Bold" w:hAnsi="Arial Bold"/>
      <w:b/>
    </w:rPr>
  </w:style>
  <w:style w:type="paragraph" w:customStyle="1" w:styleId="HWLEDef2">
    <w:name w:val="HWLE Def 2"/>
    <w:basedOn w:val="Normal"/>
    <w:qFormat/>
    <w:rsid w:val="00F5130B"/>
    <w:pPr>
      <w:numPr>
        <w:ilvl w:val="1"/>
        <w:numId w:val="3"/>
      </w:numPr>
      <w:spacing w:before="120" w:after="120"/>
      <w:outlineLvl w:val="1"/>
    </w:pPr>
  </w:style>
  <w:style w:type="paragraph" w:customStyle="1" w:styleId="HWLEDef3">
    <w:name w:val="HWLE Def 3"/>
    <w:basedOn w:val="Normal"/>
    <w:qFormat/>
    <w:rsid w:val="00F5130B"/>
    <w:pPr>
      <w:numPr>
        <w:ilvl w:val="2"/>
        <w:numId w:val="3"/>
      </w:numPr>
      <w:spacing w:before="120" w:after="120"/>
      <w:outlineLvl w:val="2"/>
    </w:pPr>
  </w:style>
  <w:style w:type="paragraph" w:customStyle="1" w:styleId="HWLEDef4">
    <w:name w:val="HWLE Def 4"/>
    <w:basedOn w:val="Normal"/>
    <w:qFormat/>
    <w:rsid w:val="00F5130B"/>
    <w:pPr>
      <w:numPr>
        <w:ilvl w:val="3"/>
        <w:numId w:val="3"/>
      </w:numPr>
      <w:spacing w:before="120" w:after="120"/>
      <w:ind w:left="2127" w:hanging="709"/>
      <w:outlineLvl w:val="3"/>
    </w:pPr>
  </w:style>
  <w:style w:type="table" w:styleId="TableGrid">
    <w:name w:val="Table Grid"/>
    <w:basedOn w:val="TableNormal"/>
    <w:rsid w:val="00F5130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F5130B"/>
    <w:pPr>
      <w:keepNext/>
      <w:pageBreakBefore/>
      <w:numPr>
        <w:numId w:val="1"/>
      </w:numPr>
      <w:spacing w:before="240" w:after="600"/>
    </w:pPr>
    <w:rPr>
      <w:color w:val="898F4B"/>
      <w:sz w:val="30"/>
    </w:rPr>
  </w:style>
  <w:style w:type="paragraph" w:customStyle="1" w:styleId="HWLEBullet1">
    <w:name w:val="HWLE Bullet 1"/>
    <w:basedOn w:val="Normal"/>
    <w:qFormat/>
    <w:rsid w:val="00F5130B"/>
    <w:pPr>
      <w:numPr>
        <w:numId w:val="2"/>
      </w:numPr>
      <w:spacing w:before="240" w:after="240"/>
      <w:outlineLvl w:val="0"/>
    </w:pPr>
  </w:style>
  <w:style w:type="paragraph" w:customStyle="1" w:styleId="HWLEBullet2">
    <w:name w:val="HWLE Bullet 2"/>
    <w:basedOn w:val="Normal"/>
    <w:qFormat/>
    <w:rsid w:val="00F5130B"/>
    <w:pPr>
      <w:numPr>
        <w:ilvl w:val="1"/>
        <w:numId w:val="2"/>
      </w:numPr>
      <w:spacing w:before="240" w:after="240"/>
      <w:outlineLvl w:val="1"/>
    </w:pPr>
  </w:style>
  <w:style w:type="paragraph" w:customStyle="1" w:styleId="HWLEBullet3">
    <w:name w:val="HWLE Bullet 3"/>
    <w:basedOn w:val="Normal"/>
    <w:qFormat/>
    <w:rsid w:val="00F5130B"/>
    <w:pPr>
      <w:numPr>
        <w:ilvl w:val="2"/>
        <w:numId w:val="2"/>
      </w:numPr>
      <w:spacing w:before="240" w:after="240"/>
      <w:ind w:left="2127" w:hanging="709"/>
      <w:outlineLvl w:val="2"/>
    </w:pPr>
  </w:style>
  <w:style w:type="paragraph" w:customStyle="1" w:styleId="HWLEComment">
    <w:name w:val="HWLE Comment"/>
    <w:basedOn w:val="Normal"/>
    <w:qFormat/>
    <w:rsid w:val="00F5130B"/>
    <w:pPr>
      <w:spacing w:before="120" w:after="120"/>
    </w:pPr>
  </w:style>
  <w:style w:type="paragraph" w:styleId="Date">
    <w:name w:val="Date"/>
    <w:basedOn w:val="Normal"/>
    <w:next w:val="Normal"/>
    <w:link w:val="DateChar"/>
    <w:uiPriority w:val="99"/>
    <w:unhideWhenUsed/>
    <w:rsid w:val="00F5130B"/>
    <w:rPr>
      <w:sz w:val="16"/>
    </w:rPr>
  </w:style>
  <w:style w:type="character" w:customStyle="1" w:styleId="DateChar">
    <w:name w:val="Date Char"/>
    <w:basedOn w:val="DefaultParagraphFont"/>
    <w:link w:val="Date"/>
    <w:uiPriority w:val="99"/>
    <w:rsid w:val="00F5130B"/>
    <w:rPr>
      <w:rFonts w:ascii="Arial" w:hAnsi="Arial"/>
      <w:sz w:val="16"/>
    </w:rPr>
  </w:style>
  <w:style w:type="paragraph" w:styleId="Footer">
    <w:name w:val="footer"/>
    <w:basedOn w:val="Normal"/>
    <w:link w:val="FooterChar"/>
    <w:unhideWhenUsed/>
    <w:rsid w:val="00F5130B"/>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F5130B"/>
    <w:rPr>
      <w:rFonts w:ascii="Arial" w:hAnsi="Arial"/>
      <w:sz w:val="14"/>
    </w:rPr>
  </w:style>
  <w:style w:type="paragraph" w:styleId="Header">
    <w:name w:val="header"/>
    <w:basedOn w:val="Normal"/>
    <w:link w:val="HeaderChar"/>
    <w:unhideWhenUsed/>
    <w:rsid w:val="00F5130B"/>
    <w:pPr>
      <w:tabs>
        <w:tab w:val="center" w:pos="4253"/>
        <w:tab w:val="right" w:pos="8505"/>
      </w:tabs>
      <w:spacing w:line="240" w:lineRule="auto"/>
    </w:pPr>
    <w:rPr>
      <w:sz w:val="18"/>
    </w:rPr>
  </w:style>
  <w:style w:type="character" w:customStyle="1" w:styleId="HeaderChar">
    <w:name w:val="Header Char"/>
    <w:basedOn w:val="DefaultParagraphFont"/>
    <w:link w:val="Header"/>
    <w:rsid w:val="00F5130B"/>
    <w:rPr>
      <w:rFonts w:ascii="Arial" w:hAnsi="Arial"/>
      <w:sz w:val="18"/>
    </w:rPr>
  </w:style>
  <w:style w:type="paragraph" w:customStyle="1" w:styleId="DocID">
    <w:name w:val="DocID"/>
    <w:basedOn w:val="Footer"/>
    <w:link w:val="DocIDChar"/>
    <w:qFormat/>
    <w:rsid w:val="00F5130B"/>
  </w:style>
  <w:style w:type="paragraph" w:customStyle="1" w:styleId="HWLEItem1">
    <w:name w:val="HWLE Item 1"/>
    <w:basedOn w:val="Normal"/>
    <w:qFormat/>
    <w:rsid w:val="00F5130B"/>
    <w:pPr>
      <w:numPr>
        <w:numId w:val="4"/>
      </w:numPr>
      <w:spacing w:before="120" w:after="120"/>
      <w:outlineLvl w:val="0"/>
    </w:pPr>
    <w:rPr>
      <w:color w:val="57584F"/>
    </w:rPr>
  </w:style>
  <w:style w:type="paragraph" w:customStyle="1" w:styleId="HWLEItem2">
    <w:name w:val="HWLE Item 2"/>
    <w:basedOn w:val="Normal"/>
    <w:qFormat/>
    <w:rsid w:val="00F5130B"/>
    <w:pPr>
      <w:numPr>
        <w:ilvl w:val="1"/>
        <w:numId w:val="4"/>
      </w:numPr>
      <w:spacing w:before="120" w:after="120"/>
      <w:outlineLvl w:val="1"/>
    </w:pPr>
  </w:style>
  <w:style w:type="paragraph" w:customStyle="1" w:styleId="HWLEItem3">
    <w:name w:val="HWLE Item 3"/>
    <w:basedOn w:val="Normal"/>
    <w:qFormat/>
    <w:rsid w:val="00F5130B"/>
    <w:pPr>
      <w:numPr>
        <w:ilvl w:val="2"/>
        <w:numId w:val="4"/>
      </w:numPr>
      <w:spacing w:before="120" w:after="120"/>
      <w:outlineLvl w:val="2"/>
    </w:pPr>
  </w:style>
  <w:style w:type="paragraph" w:customStyle="1" w:styleId="HWLEItem4">
    <w:name w:val="HWLE Item 4"/>
    <w:basedOn w:val="Normal"/>
    <w:qFormat/>
    <w:rsid w:val="00F5130B"/>
    <w:pPr>
      <w:numPr>
        <w:ilvl w:val="3"/>
        <w:numId w:val="4"/>
      </w:numPr>
      <w:spacing w:before="120" w:after="120"/>
      <w:outlineLvl w:val="3"/>
    </w:pPr>
  </w:style>
  <w:style w:type="paragraph" w:customStyle="1" w:styleId="HWLEItem5">
    <w:name w:val="HWLE Item 5"/>
    <w:basedOn w:val="Normal"/>
    <w:qFormat/>
    <w:rsid w:val="00F5130B"/>
    <w:pPr>
      <w:numPr>
        <w:ilvl w:val="4"/>
        <w:numId w:val="4"/>
      </w:numPr>
      <w:spacing w:before="120" w:after="120"/>
      <w:outlineLvl w:val="4"/>
    </w:pPr>
  </w:style>
  <w:style w:type="paragraph" w:customStyle="1" w:styleId="HWLEPartHead">
    <w:name w:val="HWLE Part Head"/>
    <w:basedOn w:val="Normal"/>
    <w:next w:val="HWLEBodyText"/>
    <w:qFormat/>
    <w:rsid w:val="00F5130B"/>
    <w:pPr>
      <w:keepNext/>
      <w:numPr>
        <w:numId w:val="7"/>
      </w:numPr>
      <w:spacing w:before="600" w:after="480"/>
    </w:pPr>
    <w:rPr>
      <w:color w:val="57584F"/>
      <w:sz w:val="30"/>
    </w:rPr>
  </w:style>
  <w:style w:type="paragraph" w:customStyle="1" w:styleId="HWLEPartHeadnewpage">
    <w:name w:val="HWLE Part Head (new page)"/>
    <w:basedOn w:val="Normal"/>
    <w:next w:val="HWLEBodyText"/>
    <w:qFormat/>
    <w:rsid w:val="00F5130B"/>
    <w:pPr>
      <w:pageBreakBefore/>
      <w:numPr>
        <w:numId w:val="8"/>
      </w:numPr>
      <w:spacing w:before="4800"/>
    </w:pPr>
    <w:rPr>
      <w:color w:val="898F4B"/>
      <w:sz w:val="36"/>
    </w:rPr>
  </w:style>
  <w:style w:type="paragraph" w:customStyle="1" w:styleId="HWLERecital1">
    <w:name w:val="HWLE Recital 1"/>
    <w:basedOn w:val="Normal"/>
    <w:qFormat/>
    <w:rsid w:val="00F5130B"/>
    <w:pPr>
      <w:numPr>
        <w:numId w:val="9"/>
      </w:numPr>
      <w:spacing w:before="240" w:after="240"/>
      <w:outlineLvl w:val="0"/>
    </w:pPr>
  </w:style>
  <w:style w:type="paragraph" w:customStyle="1" w:styleId="HWLERecital2">
    <w:name w:val="HWLE Recital 2"/>
    <w:basedOn w:val="Normal"/>
    <w:qFormat/>
    <w:rsid w:val="00F5130B"/>
    <w:pPr>
      <w:numPr>
        <w:ilvl w:val="1"/>
        <w:numId w:val="9"/>
      </w:numPr>
      <w:spacing w:before="240" w:after="240"/>
      <w:outlineLvl w:val="1"/>
    </w:pPr>
  </w:style>
  <w:style w:type="paragraph" w:customStyle="1" w:styleId="HWLERecital3">
    <w:name w:val="HWLE Recital 3"/>
    <w:basedOn w:val="Normal"/>
    <w:qFormat/>
    <w:rsid w:val="00F5130B"/>
    <w:pPr>
      <w:numPr>
        <w:ilvl w:val="2"/>
        <w:numId w:val="9"/>
      </w:numPr>
      <w:spacing w:before="240" w:after="240"/>
      <w:ind w:left="2127" w:hanging="709"/>
      <w:outlineLvl w:val="2"/>
    </w:pPr>
  </w:style>
  <w:style w:type="paragraph" w:customStyle="1" w:styleId="HWLERecital4">
    <w:name w:val="HWLE Recital 4"/>
    <w:basedOn w:val="Normal"/>
    <w:qFormat/>
    <w:rsid w:val="00F5130B"/>
    <w:pPr>
      <w:numPr>
        <w:ilvl w:val="3"/>
        <w:numId w:val="9"/>
      </w:numPr>
      <w:spacing w:before="240" w:after="240"/>
      <w:outlineLvl w:val="3"/>
    </w:pPr>
  </w:style>
  <w:style w:type="paragraph" w:customStyle="1" w:styleId="HWLESchALvl1">
    <w:name w:val="HWLE SchA Lvl 1"/>
    <w:basedOn w:val="Normal"/>
    <w:qFormat/>
    <w:rsid w:val="008F174C"/>
    <w:pPr>
      <w:numPr>
        <w:numId w:val="14"/>
      </w:numPr>
      <w:spacing w:before="240" w:after="240"/>
      <w:outlineLvl w:val="0"/>
    </w:pPr>
    <w:rPr>
      <w:b/>
    </w:rPr>
  </w:style>
  <w:style w:type="paragraph" w:customStyle="1" w:styleId="HWLESchALvl2">
    <w:name w:val="HWLE SchA Lvl 2"/>
    <w:basedOn w:val="Normal"/>
    <w:qFormat/>
    <w:rsid w:val="00F5130B"/>
    <w:pPr>
      <w:numPr>
        <w:ilvl w:val="1"/>
        <w:numId w:val="14"/>
      </w:numPr>
      <w:spacing w:before="240" w:after="240"/>
      <w:outlineLvl w:val="1"/>
    </w:pPr>
  </w:style>
  <w:style w:type="paragraph" w:customStyle="1" w:styleId="HWLESchALvl3">
    <w:name w:val="HWLE SchA Lvl 3"/>
    <w:basedOn w:val="Normal"/>
    <w:link w:val="HWLESchALvl3Char"/>
    <w:qFormat/>
    <w:rsid w:val="00F5130B"/>
    <w:pPr>
      <w:numPr>
        <w:ilvl w:val="2"/>
        <w:numId w:val="14"/>
      </w:numPr>
      <w:spacing w:before="240" w:after="240"/>
      <w:outlineLvl w:val="2"/>
    </w:pPr>
  </w:style>
  <w:style w:type="paragraph" w:customStyle="1" w:styleId="HWLESchALvl4">
    <w:name w:val="HWLE SchA Lvl 4"/>
    <w:basedOn w:val="Normal"/>
    <w:qFormat/>
    <w:rsid w:val="00F5130B"/>
    <w:pPr>
      <w:numPr>
        <w:ilvl w:val="3"/>
        <w:numId w:val="14"/>
      </w:numPr>
      <w:spacing w:before="240" w:after="240"/>
      <w:ind w:left="2127" w:hanging="709"/>
      <w:outlineLvl w:val="3"/>
    </w:pPr>
  </w:style>
  <w:style w:type="paragraph" w:customStyle="1" w:styleId="HWLESchALvl5">
    <w:name w:val="HWLE SchA Lvl 5"/>
    <w:basedOn w:val="Normal"/>
    <w:qFormat/>
    <w:rsid w:val="00F5130B"/>
    <w:pPr>
      <w:numPr>
        <w:ilvl w:val="4"/>
        <w:numId w:val="14"/>
      </w:numPr>
      <w:spacing w:before="240" w:after="240"/>
      <w:outlineLvl w:val="4"/>
    </w:pPr>
  </w:style>
  <w:style w:type="paragraph" w:customStyle="1" w:styleId="HWLESchALvl6">
    <w:name w:val="HWLE SchA Lvl 6"/>
    <w:basedOn w:val="Normal"/>
    <w:qFormat/>
    <w:rsid w:val="00F5130B"/>
    <w:pPr>
      <w:numPr>
        <w:ilvl w:val="5"/>
        <w:numId w:val="14"/>
      </w:numPr>
      <w:spacing w:before="240" w:after="240"/>
      <w:outlineLvl w:val="5"/>
    </w:pPr>
  </w:style>
  <w:style w:type="paragraph" w:customStyle="1" w:styleId="HWLESchBLvl1">
    <w:name w:val="HWLE SchB Lvl 1"/>
    <w:basedOn w:val="Normal"/>
    <w:next w:val="HWLESchBLvl2"/>
    <w:qFormat/>
    <w:rsid w:val="00F5130B"/>
    <w:pPr>
      <w:keepNext/>
      <w:numPr>
        <w:numId w:val="15"/>
      </w:numPr>
      <w:pBdr>
        <w:bottom w:val="single" w:sz="8" w:space="4" w:color="898F4B"/>
      </w:pBdr>
      <w:spacing w:before="600" w:after="240"/>
      <w:outlineLvl w:val="0"/>
    </w:pPr>
    <w:rPr>
      <w:color w:val="898F4B"/>
      <w:sz w:val="28"/>
    </w:rPr>
  </w:style>
  <w:style w:type="paragraph" w:customStyle="1" w:styleId="HWLESchBLvl2">
    <w:name w:val="HWLE SchB Lvl 2"/>
    <w:basedOn w:val="Normal"/>
    <w:next w:val="HWLEIndent"/>
    <w:qFormat/>
    <w:rsid w:val="00F5130B"/>
    <w:pPr>
      <w:keepNext/>
      <w:numPr>
        <w:ilvl w:val="1"/>
        <w:numId w:val="15"/>
      </w:numPr>
      <w:spacing w:before="360" w:after="240"/>
      <w:outlineLvl w:val="1"/>
    </w:pPr>
    <w:rPr>
      <w:rFonts w:ascii="Arial Bold" w:hAnsi="Arial Bold"/>
      <w:color w:val="57584F"/>
      <w:sz w:val="22"/>
    </w:rPr>
  </w:style>
  <w:style w:type="paragraph" w:customStyle="1" w:styleId="HWLESchBLvl3">
    <w:name w:val="HWLE SchB Lvl 3"/>
    <w:basedOn w:val="Normal"/>
    <w:qFormat/>
    <w:rsid w:val="00F5130B"/>
    <w:pPr>
      <w:numPr>
        <w:ilvl w:val="2"/>
        <w:numId w:val="15"/>
      </w:numPr>
      <w:spacing w:before="240" w:after="240"/>
      <w:outlineLvl w:val="2"/>
    </w:pPr>
  </w:style>
  <w:style w:type="paragraph" w:customStyle="1" w:styleId="HWLESchBLvl4">
    <w:name w:val="HWLE SchB Lvl 4"/>
    <w:basedOn w:val="Normal"/>
    <w:qFormat/>
    <w:rsid w:val="00F5130B"/>
    <w:pPr>
      <w:numPr>
        <w:ilvl w:val="3"/>
        <w:numId w:val="15"/>
      </w:numPr>
      <w:spacing w:before="240" w:after="240"/>
      <w:ind w:left="2127" w:hanging="709"/>
      <w:outlineLvl w:val="3"/>
    </w:pPr>
  </w:style>
  <w:style w:type="paragraph" w:customStyle="1" w:styleId="HWLESchBLvl5">
    <w:name w:val="HWLE SchB Lvl 5"/>
    <w:basedOn w:val="Normal"/>
    <w:qFormat/>
    <w:rsid w:val="00F5130B"/>
    <w:pPr>
      <w:numPr>
        <w:ilvl w:val="4"/>
        <w:numId w:val="15"/>
      </w:numPr>
      <w:spacing w:before="240" w:after="240"/>
      <w:outlineLvl w:val="4"/>
    </w:pPr>
  </w:style>
  <w:style w:type="paragraph" w:customStyle="1" w:styleId="HWLESchBLvl6">
    <w:name w:val="HWLE SchB Lvl 6"/>
    <w:basedOn w:val="Normal"/>
    <w:qFormat/>
    <w:rsid w:val="00F5130B"/>
    <w:pPr>
      <w:tabs>
        <w:tab w:val="num" w:pos="3544"/>
      </w:tabs>
      <w:spacing w:before="240" w:after="240"/>
      <w:ind w:left="3544" w:hanging="709"/>
      <w:outlineLvl w:val="5"/>
    </w:pPr>
  </w:style>
  <w:style w:type="paragraph" w:customStyle="1" w:styleId="HWLETblALvl1">
    <w:name w:val="HWLE TblA Lvl 1"/>
    <w:basedOn w:val="Normal"/>
    <w:qFormat/>
    <w:rsid w:val="00F5130B"/>
    <w:pPr>
      <w:numPr>
        <w:numId w:val="12"/>
      </w:numPr>
      <w:spacing w:before="120" w:after="120"/>
      <w:outlineLvl w:val="0"/>
    </w:pPr>
  </w:style>
  <w:style w:type="paragraph" w:customStyle="1" w:styleId="HWLETblALvl2">
    <w:name w:val="HWLE TblA Lvl 2"/>
    <w:basedOn w:val="Normal"/>
    <w:qFormat/>
    <w:rsid w:val="00F5130B"/>
    <w:pPr>
      <w:numPr>
        <w:ilvl w:val="1"/>
        <w:numId w:val="12"/>
      </w:numPr>
      <w:spacing w:before="120" w:after="120"/>
      <w:outlineLvl w:val="1"/>
    </w:pPr>
  </w:style>
  <w:style w:type="paragraph" w:customStyle="1" w:styleId="HWLETblALvl3">
    <w:name w:val="HWLE TblA Lvl 3"/>
    <w:basedOn w:val="Normal"/>
    <w:qFormat/>
    <w:rsid w:val="00F5130B"/>
    <w:pPr>
      <w:numPr>
        <w:ilvl w:val="2"/>
        <w:numId w:val="12"/>
      </w:numPr>
      <w:spacing w:before="120" w:after="120"/>
      <w:outlineLvl w:val="2"/>
    </w:pPr>
  </w:style>
  <w:style w:type="paragraph" w:customStyle="1" w:styleId="HWLETblALvl4">
    <w:name w:val="HWLE TblA Lvl 4"/>
    <w:basedOn w:val="Normal"/>
    <w:qFormat/>
    <w:rsid w:val="00F5130B"/>
    <w:pPr>
      <w:numPr>
        <w:ilvl w:val="3"/>
        <w:numId w:val="12"/>
      </w:numPr>
      <w:spacing w:before="120" w:after="120"/>
      <w:ind w:left="2127" w:hanging="709"/>
      <w:outlineLvl w:val="3"/>
    </w:pPr>
  </w:style>
  <w:style w:type="paragraph" w:customStyle="1" w:styleId="HWLETblALvl5">
    <w:name w:val="HWLE TblA Lvl 5"/>
    <w:basedOn w:val="Normal"/>
    <w:qFormat/>
    <w:rsid w:val="00F5130B"/>
    <w:pPr>
      <w:numPr>
        <w:ilvl w:val="4"/>
        <w:numId w:val="12"/>
      </w:numPr>
      <w:spacing w:before="120" w:after="120"/>
      <w:outlineLvl w:val="4"/>
    </w:pPr>
  </w:style>
  <w:style w:type="paragraph" w:customStyle="1" w:styleId="HWLETblALvl6">
    <w:name w:val="HWLE TblA Lvl 6"/>
    <w:basedOn w:val="Normal"/>
    <w:qFormat/>
    <w:rsid w:val="00F5130B"/>
    <w:pPr>
      <w:numPr>
        <w:ilvl w:val="5"/>
        <w:numId w:val="12"/>
      </w:numPr>
      <w:spacing w:before="120" w:after="120"/>
      <w:outlineLvl w:val="5"/>
    </w:pPr>
  </w:style>
  <w:style w:type="paragraph" w:customStyle="1" w:styleId="HWLETblBLvl1">
    <w:name w:val="HWLE TblB Lvl 1"/>
    <w:basedOn w:val="Normal"/>
    <w:qFormat/>
    <w:rsid w:val="00F5130B"/>
    <w:pPr>
      <w:numPr>
        <w:numId w:val="13"/>
      </w:numPr>
      <w:spacing w:before="120" w:after="120"/>
      <w:outlineLvl w:val="0"/>
    </w:pPr>
  </w:style>
  <w:style w:type="paragraph" w:customStyle="1" w:styleId="HWLETblBLvl2">
    <w:name w:val="HWLE TblB Lvl 2"/>
    <w:basedOn w:val="Normal"/>
    <w:qFormat/>
    <w:rsid w:val="00F5130B"/>
    <w:pPr>
      <w:numPr>
        <w:ilvl w:val="1"/>
        <w:numId w:val="13"/>
      </w:numPr>
      <w:spacing w:before="120" w:after="120"/>
      <w:outlineLvl w:val="1"/>
    </w:pPr>
  </w:style>
  <w:style w:type="paragraph" w:customStyle="1" w:styleId="HWLETblBLvl3">
    <w:name w:val="HWLE TblB Lvl 3"/>
    <w:basedOn w:val="Normal"/>
    <w:qFormat/>
    <w:rsid w:val="00F5130B"/>
    <w:pPr>
      <w:numPr>
        <w:ilvl w:val="2"/>
        <w:numId w:val="13"/>
      </w:numPr>
      <w:spacing w:before="120" w:after="120"/>
      <w:outlineLvl w:val="2"/>
    </w:pPr>
  </w:style>
  <w:style w:type="paragraph" w:customStyle="1" w:styleId="HWLETblBLvl4">
    <w:name w:val="HWLE TblB Lvl 4"/>
    <w:basedOn w:val="Normal"/>
    <w:qFormat/>
    <w:rsid w:val="00F5130B"/>
    <w:pPr>
      <w:numPr>
        <w:ilvl w:val="3"/>
        <w:numId w:val="13"/>
      </w:numPr>
      <w:spacing w:before="120" w:after="120"/>
      <w:ind w:left="2127" w:hanging="709"/>
      <w:outlineLvl w:val="3"/>
    </w:pPr>
  </w:style>
  <w:style w:type="paragraph" w:customStyle="1" w:styleId="HWLETblBLvl5">
    <w:name w:val="HWLE TblB Lvl 5"/>
    <w:basedOn w:val="Normal"/>
    <w:qFormat/>
    <w:rsid w:val="00F5130B"/>
    <w:pPr>
      <w:numPr>
        <w:ilvl w:val="4"/>
        <w:numId w:val="13"/>
      </w:numPr>
      <w:spacing w:before="120" w:after="120"/>
      <w:outlineLvl w:val="4"/>
    </w:pPr>
  </w:style>
  <w:style w:type="paragraph" w:customStyle="1" w:styleId="HWLESchHead">
    <w:name w:val="HWLE Sch Head"/>
    <w:basedOn w:val="Normal"/>
    <w:next w:val="HWLEBodyText"/>
    <w:qFormat/>
    <w:rsid w:val="00F5130B"/>
    <w:pPr>
      <w:keepNext/>
      <w:pageBreakBefore/>
      <w:spacing w:before="240" w:after="600"/>
    </w:pPr>
    <w:rPr>
      <w:color w:val="898F4B"/>
      <w:sz w:val="30"/>
    </w:rPr>
  </w:style>
  <w:style w:type="paragraph" w:customStyle="1" w:styleId="HWLETblBullet1">
    <w:name w:val="HWLE Tbl Bullet 1"/>
    <w:basedOn w:val="Normal"/>
    <w:qFormat/>
    <w:rsid w:val="00F5130B"/>
    <w:pPr>
      <w:numPr>
        <w:numId w:val="11"/>
      </w:numPr>
      <w:spacing w:before="120" w:after="120"/>
      <w:outlineLvl w:val="0"/>
    </w:pPr>
  </w:style>
  <w:style w:type="paragraph" w:customStyle="1" w:styleId="HWLETblBullet2">
    <w:name w:val="HWLE Tbl Bullet 2"/>
    <w:basedOn w:val="Normal"/>
    <w:qFormat/>
    <w:rsid w:val="00F5130B"/>
    <w:pPr>
      <w:numPr>
        <w:ilvl w:val="1"/>
        <w:numId w:val="11"/>
      </w:numPr>
      <w:spacing w:before="120" w:after="120"/>
      <w:outlineLvl w:val="1"/>
    </w:pPr>
  </w:style>
  <w:style w:type="paragraph" w:customStyle="1" w:styleId="HWLETblBullet3">
    <w:name w:val="HWLE Tbl Bullet 3"/>
    <w:basedOn w:val="Normal"/>
    <w:qFormat/>
    <w:rsid w:val="00F5130B"/>
    <w:pPr>
      <w:numPr>
        <w:ilvl w:val="2"/>
        <w:numId w:val="11"/>
      </w:numPr>
      <w:spacing w:before="120" w:after="120"/>
      <w:ind w:left="2127" w:hanging="709"/>
      <w:outlineLvl w:val="2"/>
    </w:pPr>
  </w:style>
  <w:style w:type="paragraph" w:customStyle="1" w:styleId="HWLECoverAnd">
    <w:name w:val="HWLE Cover And"/>
    <w:basedOn w:val="Normal"/>
    <w:next w:val="HWLECoverParty"/>
    <w:rsid w:val="00F5130B"/>
    <w:pPr>
      <w:spacing w:before="240" w:after="240"/>
      <w:jc w:val="right"/>
    </w:pPr>
    <w:rPr>
      <w:rFonts w:eastAsia="Times New Roman" w:cs="Arial"/>
      <w:szCs w:val="20"/>
    </w:rPr>
  </w:style>
  <w:style w:type="paragraph" w:customStyle="1" w:styleId="HWLECoverBanner">
    <w:name w:val="HWLE Cover Banner"/>
    <w:basedOn w:val="Normal"/>
    <w:next w:val="HWLECoverParty"/>
    <w:rsid w:val="00F5130B"/>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F5130B"/>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F5130B"/>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F5130B"/>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F5130B"/>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F5130B"/>
    <w:pPr>
      <w:spacing w:before="240" w:after="240"/>
    </w:pPr>
    <w:rPr>
      <w:rFonts w:eastAsia="Times New Roman" w:cs="Arial"/>
      <w:vanish/>
      <w:color w:val="C00000"/>
      <w:szCs w:val="20"/>
    </w:rPr>
  </w:style>
  <w:style w:type="paragraph" w:customStyle="1" w:styleId="HWLEOfficeDetails">
    <w:name w:val="HWLE Office Details"/>
    <w:basedOn w:val="Normal"/>
    <w:qFormat/>
    <w:rsid w:val="00F5130B"/>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F5130B"/>
    <w:pPr>
      <w:spacing w:before="60" w:after="60"/>
    </w:pPr>
    <w:rPr>
      <w:rFonts w:eastAsia="Times New Roman" w:cs="Arial"/>
      <w:color w:val="57584F"/>
      <w:sz w:val="16"/>
      <w:szCs w:val="16"/>
    </w:rPr>
  </w:style>
  <w:style w:type="paragraph" w:customStyle="1" w:styleId="HWLESchSubhead">
    <w:name w:val="HWLE Sch Subhead"/>
    <w:basedOn w:val="Normal"/>
    <w:next w:val="HWLEBodyText"/>
    <w:rsid w:val="00F5130B"/>
    <w:pPr>
      <w:keepNext/>
      <w:spacing w:before="360" w:after="240"/>
    </w:pPr>
    <w:rPr>
      <w:rFonts w:eastAsia="Times New Roman" w:cs="Arial"/>
      <w:color w:val="57584F"/>
      <w:sz w:val="24"/>
    </w:rPr>
  </w:style>
  <w:style w:type="paragraph" w:customStyle="1" w:styleId="HWLETblBodyText">
    <w:name w:val="HWLE Tbl Body Text"/>
    <w:basedOn w:val="Normal"/>
    <w:qFormat/>
    <w:rsid w:val="00F5130B"/>
    <w:pPr>
      <w:spacing w:before="120" w:after="120"/>
    </w:pPr>
    <w:rPr>
      <w:rFonts w:eastAsia="Times New Roman" w:cs="Arial"/>
      <w:szCs w:val="20"/>
    </w:rPr>
  </w:style>
  <w:style w:type="paragraph" w:customStyle="1" w:styleId="HWLETblHead">
    <w:name w:val="HWLE Tbl Head"/>
    <w:basedOn w:val="Normal"/>
    <w:rsid w:val="00F5130B"/>
    <w:pPr>
      <w:spacing w:before="120" w:after="120"/>
      <w:jc w:val="center"/>
    </w:pPr>
    <w:rPr>
      <w:rFonts w:ascii="Arial Bold" w:eastAsia="Times New Roman" w:hAnsi="Arial Bold" w:cs="Arial"/>
      <w:szCs w:val="20"/>
    </w:rPr>
  </w:style>
  <w:style w:type="paragraph" w:customStyle="1" w:styleId="HWLETblIndent">
    <w:name w:val="HWLE Tbl Indent"/>
    <w:basedOn w:val="Normal"/>
    <w:rsid w:val="00F5130B"/>
    <w:pPr>
      <w:spacing w:before="120" w:after="120"/>
      <w:ind w:left="709"/>
    </w:pPr>
    <w:rPr>
      <w:rFonts w:eastAsia="Times New Roman" w:cs="Arial"/>
      <w:szCs w:val="20"/>
    </w:rPr>
  </w:style>
  <w:style w:type="paragraph" w:customStyle="1" w:styleId="HWLEYourRef">
    <w:name w:val="HWLE Your Ref"/>
    <w:basedOn w:val="Normal"/>
    <w:next w:val="Normal"/>
    <w:qFormat/>
    <w:rsid w:val="00F5130B"/>
    <w:pPr>
      <w:ind w:left="851" w:hanging="851"/>
    </w:pPr>
    <w:rPr>
      <w:rFonts w:eastAsia="Times New Roman" w:cs="Arial"/>
      <w:sz w:val="16"/>
      <w:szCs w:val="20"/>
    </w:rPr>
  </w:style>
  <w:style w:type="paragraph" w:customStyle="1" w:styleId="HWLEHead">
    <w:name w:val="HWLE Head"/>
    <w:basedOn w:val="Normal"/>
    <w:next w:val="HWLEBodyText"/>
    <w:rsid w:val="00F5130B"/>
    <w:pPr>
      <w:spacing w:before="240" w:after="600"/>
    </w:pPr>
    <w:rPr>
      <w:rFonts w:eastAsia="Times New Roman" w:cs="Arial"/>
      <w:bCs/>
      <w:color w:val="898F4B"/>
      <w:sz w:val="30"/>
      <w:szCs w:val="28"/>
    </w:rPr>
  </w:style>
  <w:style w:type="paragraph" w:styleId="TOC2">
    <w:name w:val="toc 2"/>
    <w:basedOn w:val="Normal"/>
    <w:next w:val="Normal"/>
    <w:uiPriority w:val="39"/>
    <w:rsid w:val="00F5130B"/>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F5130B"/>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F5130B"/>
  </w:style>
  <w:style w:type="paragraph" w:customStyle="1" w:styleId="HWLESubhead">
    <w:name w:val="HWLE Subhead"/>
    <w:basedOn w:val="Normal"/>
    <w:next w:val="HWLEBodyText"/>
    <w:rsid w:val="00F5130B"/>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F5130B"/>
    <w:pPr>
      <w:keepNext w:val="0"/>
      <w:spacing w:before="240"/>
    </w:pPr>
    <w:rPr>
      <w:rFonts w:ascii="Arial" w:hAnsi="Arial"/>
      <w:color w:val="auto"/>
      <w:sz w:val="20"/>
    </w:rPr>
  </w:style>
  <w:style w:type="paragraph" w:customStyle="1" w:styleId="HWLESchBLvl2nohead">
    <w:name w:val="HWLE SchB Lvl 2 (no head)"/>
    <w:basedOn w:val="HWLESchBLvl2"/>
    <w:qFormat/>
    <w:rsid w:val="00F5130B"/>
    <w:pPr>
      <w:keepNext w:val="0"/>
      <w:spacing w:before="240"/>
    </w:pPr>
    <w:rPr>
      <w:rFonts w:ascii="Arial" w:hAnsi="Arial"/>
      <w:color w:val="auto"/>
      <w:sz w:val="20"/>
    </w:rPr>
  </w:style>
  <w:style w:type="character" w:styleId="Hyperlink">
    <w:name w:val="Hyperlink"/>
    <w:uiPriority w:val="99"/>
    <w:rsid w:val="00F5130B"/>
    <w:rPr>
      <w:rFonts w:cs="Times New Roman"/>
      <w:b/>
      <w:color w:val="0000FF"/>
      <w:u w:val="single"/>
    </w:rPr>
  </w:style>
  <w:style w:type="paragraph" w:customStyle="1" w:styleId="HWLESchHeadmulti">
    <w:name w:val="HWLE Sch Head (multi)"/>
    <w:basedOn w:val="Normal"/>
    <w:next w:val="HWLEBodyText"/>
    <w:rsid w:val="00F5130B"/>
    <w:pPr>
      <w:pageBreakBefore/>
      <w:numPr>
        <w:numId w:val="10"/>
      </w:numPr>
      <w:spacing w:before="240" w:after="600"/>
    </w:pPr>
    <w:rPr>
      <w:rFonts w:eastAsia="Times New Roman" w:cs="Arial"/>
      <w:bCs/>
      <w:color w:val="898F4B"/>
      <w:sz w:val="30"/>
      <w:szCs w:val="24"/>
    </w:rPr>
  </w:style>
  <w:style w:type="character" w:customStyle="1" w:styleId="DocIDChar">
    <w:name w:val="DocID Char"/>
    <w:link w:val="DocID"/>
    <w:rsid w:val="00F5130B"/>
    <w:rPr>
      <w:rFonts w:ascii="Arial" w:hAnsi="Arial"/>
      <w:sz w:val="14"/>
    </w:rPr>
  </w:style>
  <w:style w:type="character" w:customStyle="1" w:styleId="HWLESchALvl3Char">
    <w:name w:val="HWLE SchA Lvl 3 Char"/>
    <w:link w:val="HWLESchALvl3"/>
    <w:rsid w:val="00F5130B"/>
    <w:rPr>
      <w:rFonts w:ascii="Arial" w:hAnsi="Arial"/>
      <w:sz w:val="20"/>
    </w:rPr>
  </w:style>
  <w:style w:type="paragraph" w:styleId="EndnoteText">
    <w:name w:val="endnote text"/>
    <w:basedOn w:val="Normal"/>
    <w:link w:val="EndnoteTextChar"/>
    <w:uiPriority w:val="99"/>
    <w:semiHidden/>
    <w:unhideWhenUsed/>
    <w:rsid w:val="00F5130B"/>
    <w:pPr>
      <w:spacing w:line="240" w:lineRule="auto"/>
    </w:pPr>
    <w:rPr>
      <w:sz w:val="16"/>
      <w:szCs w:val="20"/>
    </w:rPr>
  </w:style>
  <w:style w:type="character" w:customStyle="1" w:styleId="EndnoteTextChar">
    <w:name w:val="Endnote Text Char"/>
    <w:basedOn w:val="DefaultParagraphFont"/>
    <w:link w:val="EndnoteText"/>
    <w:uiPriority w:val="99"/>
    <w:semiHidden/>
    <w:rsid w:val="00F5130B"/>
    <w:rPr>
      <w:rFonts w:ascii="Arial" w:hAnsi="Arial"/>
      <w:sz w:val="16"/>
      <w:szCs w:val="20"/>
    </w:rPr>
  </w:style>
  <w:style w:type="paragraph" w:styleId="FootnoteText">
    <w:name w:val="footnote text"/>
    <w:basedOn w:val="Normal"/>
    <w:link w:val="FootnoteTextChar"/>
    <w:uiPriority w:val="99"/>
    <w:semiHidden/>
    <w:unhideWhenUsed/>
    <w:rsid w:val="00F5130B"/>
    <w:pPr>
      <w:spacing w:line="240" w:lineRule="auto"/>
    </w:pPr>
    <w:rPr>
      <w:sz w:val="16"/>
      <w:szCs w:val="20"/>
    </w:rPr>
  </w:style>
  <w:style w:type="character" w:customStyle="1" w:styleId="FootnoteTextChar">
    <w:name w:val="Footnote Text Char"/>
    <w:basedOn w:val="DefaultParagraphFont"/>
    <w:link w:val="FootnoteText"/>
    <w:uiPriority w:val="99"/>
    <w:semiHidden/>
    <w:rsid w:val="00F5130B"/>
    <w:rPr>
      <w:rFonts w:ascii="Arial" w:hAnsi="Arial"/>
      <w:sz w:val="16"/>
      <w:szCs w:val="20"/>
    </w:rPr>
  </w:style>
  <w:style w:type="table" w:customStyle="1" w:styleId="HWLETable">
    <w:name w:val="HWLE Table"/>
    <w:basedOn w:val="TableNormal"/>
    <w:uiPriority w:val="99"/>
    <w:rsid w:val="00F5130B"/>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F5130B"/>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F5130B"/>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F5130B"/>
    <w:rPr>
      <w:rFonts w:ascii="Arial" w:eastAsiaTheme="majorEastAsia" w:hAnsi="Arial" w:cstheme="majorBidi"/>
      <w:bCs/>
      <w:sz w:val="20"/>
    </w:rPr>
  </w:style>
  <w:style w:type="character" w:customStyle="1" w:styleId="Heading4Char">
    <w:name w:val="Heading 4 Char"/>
    <w:basedOn w:val="DefaultParagraphFont"/>
    <w:link w:val="Heading4"/>
    <w:uiPriority w:val="9"/>
    <w:rsid w:val="00F5130B"/>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F5130B"/>
    <w:rPr>
      <w:rFonts w:ascii="Arial" w:eastAsiaTheme="majorEastAsia" w:hAnsi="Arial" w:cstheme="majorBidi"/>
      <w:sz w:val="20"/>
    </w:rPr>
  </w:style>
  <w:style w:type="character" w:customStyle="1" w:styleId="Heading6Char">
    <w:name w:val="Heading 6 Char"/>
    <w:basedOn w:val="DefaultParagraphFont"/>
    <w:link w:val="Heading6"/>
    <w:uiPriority w:val="9"/>
    <w:rsid w:val="00F5130B"/>
    <w:rPr>
      <w:rFonts w:ascii="Arial" w:eastAsiaTheme="majorEastAsia" w:hAnsi="Arial" w:cstheme="majorBidi"/>
      <w:iCs/>
      <w:sz w:val="20"/>
    </w:rPr>
  </w:style>
  <w:style w:type="character" w:customStyle="1" w:styleId="Heading7Char">
    <w:name w:val="Heading 7 Char"/>
    <w:basedOn w:val="DefaultParagraphFont"/>
    <w:link w:val="Heading7"/>
    <w:uiPriority w:val="9"/>
    <w:rsid w:val="00F5130B"/>
    <w:rPr>
      <w:rFonts w:ascii="Arial" w:eastAsiaTheme="majorEastAsia" w:hAnsi="Arial" w:cstheme="majorBidi"/>
      <w:iCs/>
      <w:sz w:val="20"/>
    </w:rPr>
  </w:style>
  <w:style w:type="character" w:customStyle="1" w:styleId="Heading8Char">
    <w:name w:val="Heading 8 Char"/>
    <w:basedOn w:val="DefaultParagraphFont"/>
    <w:link w:val="Heading8"/>
    <w:uiPriority w:val="9"/>
    <w:rsid w:val="00F5130B"/>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F5130B"/>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F5130B"/>
    <w:pPr>
      <w:spacing w:after="100"/>
    </w:pPr>
  </w:style>
  <w:style w:type="paragraph" w:styleId="TOC4">
    <w:name w:val="toc 4"/>
    <w:basedOn w:val="Normal"/>
    <w:next w:val="Normal"/>
    <w:autoRedefine/>
    <w:uiPriority w:val="39"/>
    <w:semiHidden/>
    <w:unhideWhenUsed/>
    <w:rsid w:val="00F5130B"/>
    <w:pPr>
      <w:spacing w:after="100"/>
      <w:ind w:left="600"/>
    </w:pPr>
  </w:style>
  <w:style w:type="paragraph" w:styleId="TOC5">
    <w:name w:val="toc 5"/>
    <w:basedOn w:val="Normal"/>
    <w:next w:val="Normal"/>
    <w:autoRedefine/>
    <w:uiPriority w:val="39"/>
    <w:semiHidden/>
    <w:unhideWhenUsed/>
    <w:rsid w:val="00F5130B"/>
    <w:pPr>
      <w:spacing w:after="100"/>
      <w:ind w:left="800"/>
    </w:pPr>
  </w:style>
  <w:style w:type="paragraph" w:styleId="TOC6">
    <w:name w:val="toc 6"/>
    <w:basedOn w:val="Normal"/>
    <w:next w:val="Normal"/>
    <w:autoRedefine/>
    <w:uiPriority w:val="39"/>
    <w:semiHidden/>
    <w:unhideWhenUsed/>
    <w:rsid w:val="00F5130B"/>
    <w:pPr>
      <w:spacing w:after="100"/>
      <w:ind w:left="1000"/>
    </w:pPr>
  </w:style>
  <w:style w:type="paragraph" w:styleId="TOC7">
    <w:name w:val="toc 7"/>
    <w:basedOn w:val="Normal"/>
    <w:next w:val="Normal"/>
    <w:autoRedefine/>
    <w:uiPriority w:val="39"/>
    <w:semiHidden/>
    <w:unhideWhenUsed/>
    <w:rsid w:val="00F5130B"/>
    <w:pPr>
      <w:spacing w:after="100"/>
      <w:ind w:left="1200"/>
    </w:pPr>
  </w:style>
  <w:style w:type="paragraph" w:styleId="TOC8">
    <w:name w:val="toc 8"/>
    <w:basedOn w:val="Normal"/>
    <w:next w:val="Normal"/>
    <w:autoRedefine/>
    <w:uiPriority w:val="39"/>
    <w:semiHidden/>
    <w:unhideWhenUsed/>
    <w:rsid w:val="00F5130B"/>
    <w:pPr>
      <w:spacing w:after="100"/>
      <w:ind w:left="1400"/>
    </w:pPr>
  </w:style>
  <w:style w:type="paragraph" w:styleId="TOC9">
    <w:name w:val="toc 9"/>
    <w:basedOn w:val="Normal"/>
    <w:next w:val="Normal"/>
    <w:autoRedefine/>
    <w:uiPriority w:val="39"/>
    <w:semiHidden/>
    <w:unhideWhenUsed/>
    <w:rsid w:val="00F5130B"/>
    <w:pPr>
      <w:spacing w:after="100"/>
      <w:ind w:left="1600"/>
    </w:pPr>
  </w:style>
  <w:style w:type="table" w:customStyle="1" w:styleId="HWLETableRefSch">
    <w:name w:val="HWLE Table Ref Sch"/>
    <w:basedOn w:val="TableNormal"/>
    <w:uiPriority w:val="99"/>
    <w:rsid w:val="00F5130B"/>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paragraph" w:customStyle="1" w:styleId="HWLELegal1">
    <w:name w:val="HWLE Legal 1"/>
    <w:basedOn w:val="Normal"/>
    <w:rsid w:val="00F5130B"/>
    <w:pPr>
      <w:numPr>
        <w:numId w:val="5"/>
      </w:numPr>
      <w:spacing w:before="240" w:after="240"/>
      <w:outlineLvl w:val="0"/>
    </w:pPr>
    <w:rPr>
      <w:rFonts w:eastAsia="Times New Roman" w:cs="Arial"/>
      <w:szCs w:val="20"/>
    </w:rPr>
  </w:style>
  <w:style w:type="paragraph" w:customStyle="1" w:styleId="HWLELegal2">
    <w:name w:val="HWLE Legal 2"/>
    <w:basedOn w:val="Normal"/>
    <w:rsid w:val="00F5130B"/>
    <w:pPr>
      <w:numPr>
        <w:ilvl w:val="1"/>
        <w:numId w:val="5"/>
      </w:numPr>
      <w:spacing w:before="240" w:after="240"/>
      <w:outlineLvl w:val="1"/>
    </w:pPr>
    <w:rPr>
      <w:rFonts w:eastAsia="Times New Roman" w:cs="Arial"/>
      <w:szCs w:val="20"/>
    </w:rPr>
  </w:style>
  <w:style w:type="paragraph" w:customStyle="1" w:styleId="HWLELegal3">
    <w:name w:val="HWLE Legal 3"/>
    <w:basedOn w:val="Normal"/>
    <w:rsid w:val="00F5130B"/>
    <w:pPr>
      <w:numPr>
        <w:ilvl w:val="2"/>
        <w:numId w:val="5"/>
      </w:numPr>
      <w:spacing w:before="240" w:after="240"/>
      <w:outlineLvl w:val="2"/>
    </w:pPr>
    <w:rPr>
      <w:rFonts w:eastAsia="Times New Roman" w:cs="Arial"/>
      <w:szCs w:val="20"/>
    </w:rPr>
  </w:style>
  <w:style w:type="paragraph" w:customStyle="1" w:styleId="HWLELegal4">
    <w:name w:val="HWLE Legal 4"/>
    <w:basedOn w:val="Normal"/>
    <w:rsid w:val="00F5130B"/>
    <w:pPr>
      <w:numPr>
        <w:ilvl w:val="3"/>
        <w:numId w:val="5"/>
      </w:numPr>
      <w:spacing w:before="240" w:after="240"/>
      <w:outlineLvl w:val="3"/>
    </w:pPr>
    <w:rPr>
      <w:rFonts w:eastAsia="Times New Roman" w:cs="Arial"/>
      <w:szCs w:val="20"/>
    </w:rPr>
  </w:style>
  <w:style w:type="table" w:customStyle="1" w:styleId="HWLETableComment">
    <w:name w:val="HWLE Table Comment"/>
    <w:basedOn w:val="TableNormal"/>
    <w:uiPriority w:val="99"/>
    <w:rsid w:val="00F5130B"/>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F5130B"/>
    <w:pPr>
      <w:spacing w:after="0" w:line="240" w:lineRule="auto"/>
    </w:pPr>
    <w:rPr>
      <w:rFonts w:ascii="Arial" w:hAnsi="Arial"/>
      <w:sz w:val="20"/>
    </w:rPr>
    <w:tblPr>
      <w:tblCellMar>
        <w:left w:w="0" w:type="dxa"/>
      </w:tblCellMar>
    </w:tblPr>
  </w:style>
  <w:style w:type="character" w:customStyle="1" w:styleId="HWLEBodyTextChar">
    <w:name w:val="HWLE Body Text Char"/>
    <w:link w:val="HWLEBodyText"/>
    <w:rsid w:val="008A07B5"/>
    <w:rPr>
      <w:rFonts w:ascii="Arial" w:hAnsi="Arial"/>
      <w:sz w:val="20"/>
    </w:rPr>
  </w:style>
  <w:style w:type="paragraph" w:customStyle="1" w:styleId="HWLEHead2">
    <w:name w:val="HWLE Head2"/>
    <w:basedOn w:val="HWLEHead"/>
    <w:next w:val="HWLEBodyText"/>
    <w:qFormat/>
    <w:rsid w:val="00F5130B"/>
    <w:pPr>
      <w:keepNext/>
      <w:spacing w:before="600" w:after="480"/>
    </w:pPr>
  </w:style>
  <w:style w:type="paragraph" w:customStyle="1" w:styleId="HWLESubhead2">
    <w:name w:val="HWLE Subhead2"/>
    <w:basedOn w:val="HWLESubhead"/>
    <w:next w:val="HWLEBodyText"/>
    <w:qFormat/>
    <w:rsid w:val="00F5130B"/>
    <w:pPr>
      <w:keepNext/>
      <w:spacing w:before="480" w:after="360"/>
    </w:pPr>
    <w:rPr>
      <w:b/>
    </w:rPr>
  </w:style>
  <w:style w:type="paragraph" w:customStyle="1" w:styleId="HWLEStep1">
    <w:name w:val="HWLE Step 1"/>
    <w:basedOn w:val="Normal"/>
    <w:qFormat/>
    <w:rsid w:val="00F5130B"/>
    <w:pPr>
      <w:numPr>
        <w:numId w:val="16"/>
      </w:numPr>
      <w:spacing w:before="240" w:after="240"/>
    </w:pPr>
  </w:style>
  <w:style w:type="paragraph" w:customStyle="1" w:styleId="HWLEStep2">
    <w:name w:val="HWLE Step 2"/>
    <w:basedOn w:val="Normal"/>
    <w:qFormat/>
    <w:rsid w:val="00F5130B"/>
    <w:pPr>
      <w:numPr>
        <w:ilvl w:val="1"/>
        <w:numId w:val="16"/>
      </w:numPr>
      <w:spacing w:before="240" w:after="240"/>
      <w:ind w:left="1560" w:hanging="709"/>
    </w:pPr>
  </w:style>
  <w:style w:type="paragraph" w:customStyle="1" w:styleId="HWLEStep3">
    <w:name w:val="HWLE Step 3"/>
    <w:basedOn w:val="Normal"/>
    <w:qFormat/>
    <w:rsid w:val="00F5130B"/>
    <w:pPr>
      <w:numPr>
        <w:ilvl w:val="2"/>
        <w:numId w:val="16"/>
      </w:numPr>
      <w:spacing w:before="240" w:after="240"/>
    </w:pPr>
  </w:style>
  <w:style w:type="paragraph" w:customStyle="1" w:styleId="HWLEStep4">
    <w:name w:val="HWLE Step 4"/>
    <w:basedOn w:val="Normal"/>
    <w:qFormat/>
    <w:rsid w:val="00F5130B"/>
    <w:pPr>
      <w:numPr>
        <w:ilvl w:val="3"/>
        <w:numId w:val="16"/>
      </w:numPr>
      <w:spacing w:before="240" w:after="240"/>
    </w:pPr>
  </w:style>
  <w:style w:type="paragraph" w:customStyle="1" w:styleId="HWLEStep5">
    <w:name w:val="HWLE Step 5"/>
    <w:basedOn w:val="Normal"/>
    <w:qFormat/>
    <w:rsid w:val="00F5130B"/>
    <w:pPr>
      <w:numPr>
        <w:ilvl w:val="4"/>
        <w:numId w:val="16"/>
      </w:numPr>
      <w:spacing w:before="240" w:after="240"/>
    </w:pPr>
  </w:style>
  <w:style w:type="paragraph" w:customStyle="1" w:styleId="HWLETblStep1">
    <w:name w:val="HWLE Tbl Step 1"/>
    <w:basedOn w:val="Normal"/>
    <w:qFormat/>
    <w:rsid w:val="00F5130B"/>
    <w:pPr>
      <w:numPr>
        <w:numId w:val="17"/>
      </w:numPr>
      <w:spacing w:before="120" w:after="120"/>
    </w:pPr>
  </w:style>
  <w:style w:type="paragraph" w:customStyle="1" w:styleId="HWLETblStep2">
    <w:name w:val="HWLE Tbl Step 2"/>
    <w:basedOn w:val="Normal"/>
    <w:qFormat/>
    <w:rsid w:val="00F5130B"/>
    <w:pPr>
      <w:numPr>
        <w:ilvl w:val="1"/>
        <w:numId w:val="17"/>
      </w:numPr>
      <w:spacing w:before="120" w:after="120"/>
    </w:pPr>
  </w:style>
  <w:style w:type="paragraph" w:customStyle="1" w:styleId="HWLETblStep3">
    <w:name w:val="HWLE Tbl Step 3"/>
    <w:basedOn w:val="Normal"/>
    <w:qFormat/>
    <w:rsid w:val="00F5130B"/>
    <w:pPr>
      <w:numPr>
        <w:ilvl w:val="2"/>
        <w:numId w:val="17"/>
      </w:numPr>
      <w:spacing w:before="120" w:after="120"/>
    </w:pPr>
  </w:style>
  <w:style w:type="paragraph" w:customStyle="1" w:styleId="HWLETblStep4">
    <w:name w:val="HWLE Tbl Step 4"/>
    <w:basedOn w:val="Normal"/>
    <w:qFormat/>
    <w:rsid w:val="00F5130B"/>
    <w:pPr>
      <w:numPr>
        <w:ilvl w:val="3"/>
        <w:numId w:val="17"/>
      </w:numPr>
      <w:spacing w:before="120" w:after="120"/>
      <w:ind w:left="2127" w:hanging="709"/>
    </w:pPr>
  </w:style>
  <w:style w:type="paragraph" w:customStyle="1" w:styleId="HWLETblStep5">
    <w:name w:val="HWLE Tbl Step 5"/>
    <w:basedOn w:val="Normal"/>
    <w:qFormat/>
    <w:rsid w:val="00F5130B"/>
    <w:pPr>
      <w:numPr>
        <w:ilvl w:val="4"/>
        <w:numId w:val="17"/>
      </w:numPr>
      <w:spacing w:before="120" w:after="120"/>
    </w:pPr>
  </w:style>
  <w:style w:type="paragraph" w:styleId="ListParagraph">
    <w:name w:val="List Paragraph"/>
    <w:basedOn w:val="Normal"/>
    <w:uiPriority w:val="34"/>
    <w:qFormat/>
    <w:rsid w:val="00F5130B"/>
    <w:pPr>
      <w:ind w:left="720"/>
      <w:contextualSpacing/>
    </w:pPr>
  </w:style>
  <w:style w:type="paragraph" w:customStyle="1" w:styleId="LDStandardIndent">
    <w:name w:val="LD_Standard_Indent"/>
    <w:basedOn w:val="Normal"/>
    <w:rsid w:val="00770F28"/>
    <w:pPr>
      <w:spacing w:before="240" w:line="240" w:lineRule="auto"/>
      <w:ind w:left="709"/>
      <w:jc w:val="both"/>
    </w:pPr>
    <w:rPr>
      <w:rFonts w:eastAsia="Times New Roman" w:cs="Arial"/>
      <w:szCs w:val="20"/>
    </w:rPr>
  </w:style>
  <w:style w:type="paragraph" w:styleId="BalloonText">
    <w:name w:val="Balloon Text"/>
    <w:basedOn w:val="Normal"/>
    <w:link w:val="BalloonTextChar"/>
    <w:uiPriority w:val="99"/>
    <w:semiHidden/>
    <w:unhideWhenUsed/>
    <w:rsid w:val="00820C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CA8"/>
    <w:rPr>
      <w:rFonts w:ascii="Segoe UI" w:hAnsi="Segoe UI" w:cs="Segoe UI"/>
      <w:sz w:val="18"/>
      <w:szCs w:val="18"/>
    </w:rPr>
  </w:style>
  <w:style w:type="paragraph" w:customStyle="1" w:styleId="MacPacTrailer">
    <w:name w:val="MacPac Trailer"/>
    <w:rsid w:val="00521D7E"/>
    <w:pPr>
      <w:widowControl w:val="0"/>
      <w:spacing w:after="0" w:line="200" w:lineRule="exact"/>
    </w:pPr>
    <w:rPr>
      <w:rFonts w:ascii="Arial" w:eastAsia="Times New Roman" w:hAnsi="Arial" w:cs="Times New Roman"/>
      <w:sz w:val="16"/>
      <w:lang w:val="en-US"/>
    </w:rPr>
  </w:style>
  <w:style w:type="character" w:styleId="PlaceholderText">
    <w:name w:val="Placeholder Text"/>
    <w:basedOn w:val="DefaultParagraphFont"/>
    <w:uiPriority w:val="99"/>
    <w:semiHidden/>
    <w:rsid w:val="003D1B30"/>
    <w:rPr>
      <w:color w:val="808080"/>
    </w:rPr>
  </w:style>
  <w:style w:type="character" w:styleId="CommentReference">
    <w:name w:val="annotation reference"/>
    <w:basedOn w:val="DefaultParagraphFont"/>
    <w:uiPriority w:val="99"/>
    <w:semiHidden/>
    <w:unhideWhenUsed/>
    <w:rsid w:val="002C187B"/>
    <w:rPr>
      <w:sz w:val="16"/>
      <w:szCs w:val="16"/>
    </w:rPr>
  </w:style>
  <w:style w:type="paragraph" w:styleId="CommentText">
    <w:name w:val="annotation text"/>
    <w:basedOn w:val="Normal"/>
    <w:link w:val="CommentTextChar"/>
    <w:uiPriority w:val="99"/>
    <w:semiHidden/>
    <w:unhideWhenUsed/>
    <w:rsid w:val="002C187B"/>
    <w:pPr>
      <w:spacing w:line="240" w:lineRule="auto"/>
    </w:pPr>
    <w:rPr>
      <w:szCs w:val="20"/>
    </w:rPr>
  </w:style>
  <w:style w:type="character" w:customStyle="1" w:styleId="CommentTextChar">
    <w:name w:val="Comment Text Char"/>
    <w:basedOn w:val="DefaultParagraphFont"/>
    <w:link w:val="CommentText"/>
    <w:uiPriority w:val="99"/>
    <w:semiHidden/>
    <w:rsid w:val="002C18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187B"/>
    <w:rPr>
      <w:b/>
      <w:bCs/>
    </w:rPr>
  </w:style>
  <w:style w:type="character" w:customStyle="1" w:styleId="CommentSubjectChar">
    <w:name w:val="Comment Subject Char"/>
    <w:basedOn w:val="CommentTextChar"/>
    <w:link w:val="CommentSubject"/>
    <w:uiPriority w:val="99"/>
    <w:semiHidden/>
    <w:rsid w:val="002C187B"/>
    <w:rPr>
      <w:rFonts w:ascii="Arial" w:hAnsi="Arial"/>
      <w:b/>
      <w:bCs/>
      <w:sz w:val="20"/>
      <w:szCs w:val="20"/>
    </w:rPr>
  </w:style>
  <w:style w:type="paragraph" w:styleId="Revision">
    <w:name w:val="Revision"/>
    <w:hidden/>
    <w:uiPriority w:val="99"/>
    <w:semiHidden/>
    <w:rsid w:val="002D2D72"/>
    <w:pPr>
      <w:spacing w:after="0" w:line="240" w:lineRule="auto"/>
    </w:pPr>
    <w:rPr>
      <w:rFonts w:ascii="Arial" w:hAnsi="Arial"/>
      <w:sz w:val="20"/>
    </w:rPr>
  </w:style>
  <w:style w:type="paragraph" w:customStyle="1" w:styleId="Body">
    <w:name w:val="Body"/>
    <w:basedOn w:val="Normal"/>
    <w:rsid w:val="00F67388"/>
    <w:pPr>
      <w:spacing w:after="180"/>
    </w:pPr>
  </w:style>
  <w:style w:type="paragraph" w:customStyle="1" w:styleId="sub">
    <w:name w:val="sub"/>
    <w:basedOn w:val="Normal"/>
    <w:rsid w:val="000C1D1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ara">
    <w:name w:val="para"/>
    <w:basedOn w:val="Normal"/>
    <w:rsid w:val="000C1D1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older">
    <w:name w:val="holder"/>
    <w:basedOn w:val="DefaultParagraphFont"/>
    <w:rsid w:val="000C1D1E"/>
  </w:style>
  <w:style w:type="paragraph" w:customStyle="1" w:styleId="subpara">
    <w:name w:val="subpara"/>
    <w:basedOn w:val="Normal"/>
    <w:rsid w:val="000C1D1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GenL2">
    <w:name w:val="Gen L2"/>
    <w:basedOn w:val="Normal"/>
    <w:rsid w:val="00383F18"/>
    <w:pPr>
      <w:numPr>
        <w:ilvl w:val="1"/>
        <w:numId w:val="21"/>
      </w:numPr>
      <w:spacing w:after="180" w:line="240" w:lineRule="auto"/>
      <w:jc w:val="both"/>
      <w:outlineLvl w:val="1"/>
    </w:pPr>
    <w:rPr>
      <w:rFonts w:ascii="Calibri" w:eastAsia="Times New Roman" w:hAnsi="Calibri" w:cs="Times New Roman"/>
      <w:b/>
      <w:color w:val="6DA32C"/>
      <w:sz w:val="24"/>
      <w:lang w:val="en-CA"/>
    </w:rPr>
  </w:style>
  <w:style w:type="paragraph" w:customStyle="1" w:styleId="GenL3">
    <w:name w:val="Gen L3"/>
    <w:basedOn w:val="Normal"/>
    <w:rsid w:val="00383F18"/>
    <w:pPr>
      <w:numPr>
        <w:ilvl w:val="2"/>
        <w:numId w:val="21"/>
      </w:numPr>
      <w:spacing w:after="180" w:line="240" w:lineRule="auto"/>
      <w:jc w:val="both"/>
      <w:outlineLvl w:val="2"/>
    </w:pPr>
    <w:rPr>
      <w:rFonts w:ascii="Calibri" w:eastAsia="Times New Roman" w:hAnsi="Calibri" w:cs="Times New Roman"/>
      <w:sz w:val="22"/>
      <w:lang w:val="en-CA"/>
    </w:rPr>
  </w:style>
  <w:style w:type="paragraph" w:customStyle="1" w:styleId="GenL4">
    <w:name w:val="Gen L4"/>
    <w:basedOn w:val="Normal"/>
    <w:rsid w:val="00383F18"/>
    <w:pPr>
      <w:numPr>
        <w:ilvl w:val="3"/>
        <w:numId w:val="21"/>
      </w:numPr>
      <w:spacing w:after="180" w:line="240" w:lineRule="auto"/>
      <w:jc w:val="both"/>
    </w:pPr>
    <w:rPr>
      <w:rFonts w:ascii="Calibri" w:eastAsia="Times New Roman" w:hAnsi="Calibri" w:cs="Times New Roman"/>
      <w:sz w:val="22"/>
      <w:lang w:val="en-CA"/>
    </w:rPr>
  </w:style>
  <w:style w:type="paragraph" w:customStyle="1" w:styleId="GenL5">
    <w:name w:val="Gen L5"/>
    <w:basedOn w:val="Normal"/>
    <w:rsid w:val="00383F18"/>
    <w:pPr>
      <w:numPr>
        <w:ilvl w:val="4"/>
        <w:numId w:val="21"/>
      </w:numPr>
      <w:spacing w:after="180" w:line="240" w:lineRule="auto"/>
      <w:jc w:val="both"/>
    </w:pPr>
    <w:rPr>
      <w:rFonts w:ascii="Calibri" w:eastAsia="Times New Roman" w:hAnsi="Calibri" w:cs="Times New Roman"/>
      <w:sz w:val="22"/>
      <w:lang w:val="en-CA"/>
    </w:rPr>
  </w:style>
  <w:style w:type="paragraph" w:customStyle="1" w:styleId="GenL6">
    <w:name w:val="Gen L6"/>
    <w:basedOn w:val="Normal"/>
    <w:rsid w:val="00383F18"/>
    <w:pPr>
      <w:numPr>
        <w:ilvl w:val="5"/>
        <w:numId w:val="21"/>
      </w:numPr>
      <w:spacing w:after="180" w:line="240" w:lineRule="auto"/>
      <w:jc w:val="both"/>
    </w:pPr>
    <w:rPr>
      <w:rFonts w:ascii="Calibri" w:eastAsia="Times New Roman" w:hAnsi="Calibri" w:cs="Times New Roman"/>
      <w:sz w:val="22"/>
      <w:lang w:val="en-CA"/>
    </w:rPr>
  </w:style>
  <w:style w:type="paragraph" w:customStyle="1" w:styleId="GenL7">
    <w:name w:val="Gen L7"/>
    <w:basedOn w:val="Normal"/>
    <w:rsid w:val="00383F18"/>
    <w:pPr>
      <w:numPr>
        <w:ilvl w:val="6"/>
        <w:numId w:val="21"/>
      </w:numPr>
      <w:spacing w:after="180" w:line="240" w:lineRule="auto"/>
      <w:jc w:val="both"/>
    </w:pPr>
    <w:rPr>
      <w:rFonts w:ascii="Calibri" w:eastAsia="Times New Roman" w:hAnsi="Calibri" w:cs="Times New Roman"/>
      <w:sz w:val="22"/>
      <w:lang w:val="en-CA"/>
    </w:rPr>
  </w:style>
  <w:style w:type="paragraph" w:customStyle="1" w:styleId="GenL8">
    <w:name w:val="Gen L8"/>
    <w:basedOn w:val="Normal"/>
    <w:rsid w:val="00383F18"/>
    <w:pPr>
      <w:numPr>
        <w:ilvl w:val="7"/>
        <w:numId w:val="21"/>
      </w:numPr>
      <w:spacing w:after="180" w:line="240" w:lineRule="auto"/>
      <w:jc w:val="both"/>
    </w:pPr>
    <w:rPr>
      <w:rFonts w:ascii="Calibri" w:eastAsia="Times New Roman" w:hAnsi="Calibri" w:cs="Times New Roman"/>
      <w:sz w:val="22"/>
      <w:lang w:val="en-CA"/>
    </w:rPr>
  </w:style>
  <w:style w:type="paragraph" w:customStyle="1" w:styleId="GenL9">
    <w:name w:val="Gen L9"/>
    <w:basedOn w:val="Normal"/>
    <w:rsid w:val="00383F18"/>
    <w:pPr>
      <w:numPr>
        <w:ilvl w:val="8"/>
        <w:numId w:val="21"/>
      </w:numPr>
      <w:spacing w:after="180" w:line="240" w:lineRule="auto"/>
      <w:jc w:val="both"/>
    </w:pPr>
    <w:rPr>
      <w:rFonts w:ascii="Calibri" w:eastAsia="Times New Roman" w:hAnsi="Calibri" w:cs="Times New Roman"/>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49915">
      <w:bodyDiv w:val="1"/>
      <w:marLeft w:val="0"/>
      <w:marRight w:val="0"/>
      <w:marTop w:val="0"/>
      <w:marBottom w:val="0"/>
      <w:divBdr>
        <w:top w:val="none" w:sz="0" w:space="0" w:color="auto"/>
        <w:left w:val="none" w:sz="0" w:space="0" w:color="auto"/>
        <w:bottom w:val="none" w:sz="0" w:space="0" w:color="auto"/>
        <w:right w:val="none" w:sz="0" w:space="0" w:color="auto"/>
      </w:divBdr>
    </w:div>
    <w:div w:id="933171444">
      <w:bodyDiv w:val="1"/>
      <w:marLeft w:val="0"/>
      <w:marRight w:val="0"/>
      <w:marTop w:val="0"/>
      <w:marBottom w:val="0"/>
      <w:divBdr>
        <w:top w:val="none" w:sz="0" w:space="0" w:color="auto"/>
        <w:left w:val="none" w:sz="0" w:space="0" w:color="auto"/>
        <w:bottom w:val="none" w:sz="0" w:space="0" w:color="auto"/>
        <w:right w:val="none" w:sz="0" w:space="0" w:color="auto"/>
      </w:divBdr>
    </w:div>
    <w:div w:id="1387609509">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8687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3820</Words>
  <Characters>21775</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cp:lastModifiedBy>Paul  Fowler</cp:lastModifiedBy>
  <cp:revision>2</cp:revision>
  <dcterms:created xsi:type="dcterms:W3CDTF">2020-11-06T21:01:00Z</dcterms:created>
  <dcterms:modified xsi:type="dcterms:W3CDTF">2020-11-06T21:01:00Z</dcterms:modified>
</cp:coreProperties>
</file>